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776A40">
      <w:pPr>
        <w:pStyle w:val="NormalWeb"/>
        <w:ind w:right="-15"/>
        <w:jc w:val="center"/>
        <w:divId w:val="1078747452"/>
        <w:rPr>
          <w:color w:val="000000"/>
        </w:rPr>
      </w:pPr>
      <w:bookmarkStart w:id="0" w:name="_GoBack"/>
      <w:bookmarkEnd w:id="0"/>
      <w:r>
        <w:rPr>
          <w:rStyle w:val="Strong"/>
          <w:color w:val="000000"/>
          <w:sz w:val="30"/>
          <w:szCs w:val="30"/>
        </w:rPr>
        <w:t>Ph</w:t>
      </w:r>
      <w:r>
        <w:rPr>
          <w:rStyle w:val="Strong"/>
          <w:color w:val="000000"/>
          <w:sz w:val="30"/>
          <w:szCs w:val="30"/>
        </w:rPr>
        <w:t>ụ</w:t>
      </w:r>
      <w:r>
        <w:rPr>
          <w:rStyle w:val="Strong"/>
          <w:color w:val="000000"/>
          <w:sz w:val="30"/>
          <w:szCs w:val="30"/>
        </w:rPr>
        <w:t xml:space="preserve"> l</w:t>
      </w:r>
      <w:r>
        <w:rPr>
          <w:rStyle w:val="Strong"/>
          <w:color w:val="000000"/>
          <w:sz w:val="30"/>
          <w:szCs w:val="30"/>
        </w:rPr>
        <w:t>ụ</w:t>
      </w:r>
      <w:r>
        <w:rPr>
          <w:rStyle w:val="Strong"/>
          <w:color w:val="000000"/>
          <w:sz w:val="30"/>
          <w:szCs w:val="30"/>
        </w:rPr>
        <w:t>c II</w:t>
      </w:r>
    </w:p>
    <w:p w:rsidR="00000000" w:rsidRDefault="00776A40">
      <w:pPr>
        <w:pStyle w:val="NormalWeb"/>
        <w:jc w:val="center"/>
        <w:divId w:val="1078747452"/>
        <w:rPr>
          <w:color w:val="000000"/>
        </w:rPr>
      </w:pPr>
      <w:r>
        <w:rPr>
          <w:rStyle w:val="Strong"/>
          <w:color w:val="000000"/>
          <w:sz w:val="30"/>
          <w:szCs w:val="30"/>
        </w:rPr>
        <w:t>CHO Ý KI</w:t>
      </w:r>
      <w:r>
        <w:rPr>
          <w:rStyle w:val="Strong"/>
          <w:color w:val="000000"/>
          <w:sz w:val="30"/>
          <w:szCs w:val="30"/>
        </w:rPr>
        <w:t>Ế</w:t>
      </w:r>
      <w:r>
        <w:rPr>
          <w:rStyle w:val="Strong"/>
          <w:color w:val="000000"/>
          <w:sz w:val="30"/>
          <w:szCs w:val="30"/>
        </w:rPr>
        <w:t>N Đ</w:t>
      </w:r>
      <w:r>
        <w:rPr>
          <w:rStyle w:val="Strong"/>
          <w:color w:val="000000"/>
          <w:sz w:val="30"/>
          <w:szCs w:val="30"/>
        </w:rPr>
        <w:t>Ố</w:t>
      </w:r>
      <w:r>
        <w:rPr>
          <w:rStyle w:val="Strong"/>
          <w:color w:val="000000"/>
          <w:sz w:val="30"/>
          <w:szCs w:val="30"/>
        </w:rPr>
        <w:t>I V</w:t>
      </w:r>
      <w:r>
        <w:rPr>
          <w:rStyle w:val="Strong"/>
          <w:color w:val="000000"/>
          <w:sz w:val="30"/>
          <w:szCs w:val="30"/>
        </w:rPr>
        <w:t>Ớ</w:t>
      </w:r>
      <w:r>
        <w:rPr>
          <w:rStyle w:val="Strong"/>
          <w:color w:val="000000"/>
          <w:sz w:val="30"/>
          <w:szCs w:val="30"/>
        </w:rPr>
        <w:t>I K</w:t>
      </w:r>
      <w:r>
        <w:rPr>
          <w:rStyle w:val="Strong"/>
          <w:color w:val="000000"/>
          <w:sz w:val="30"/>
          <w:szCs w:val="30"/>
        </w:rPr>
        <w:t>Ế</w:t>
      </w:r>
      <w:r>
        <w:rPr>
          <w:rStyle w:val="Strong"/>
          <w:color w:val="000000"/>
          <w:sz w:val="30"/>
          <w:szCs w:val="30"/>
        </w:rPr>
        <w:t>T QU</w:t>
      </w:r>
      <w:r>
        <w:rPr>
          <w:rStyle w:val="Strong"/>
          <w:color w:val="000000"/>
          <w:sz w:val="30"/>
          <w:szCs w:val="30"/>
        </w:rPr>
        <w:t>Ả</w:t>
      </w:r>
      <w:r>
        <w:rPr>
          <w:rStyle w:val="Strong"/>
          <w:color w:val="000000"/>
          <w:sz w:val="30"/>
          <w:szCs w:val="30"/>
        </w:rPr>
        <w:t xml:space="preserve"> RÀ SOÁT KHÓ KHĂN, VƯ</w:t>
      </w:r>
      <w:r>
        <w:rPr>
          <w:rStyle w:val="Strong"/>
          <w:color w:val="000000"/>
          <w:sz w:val="30"/>
          <w:szCs w:val="30"/>
        </w:rPr>
        <w:t>Ớ</w:t>
      </w:r>
      <w:r>
        <w:rPr>
          <w:rStyle w:val="Strong"/>
          <w:color w:val="000000"/>
          <w:sz w:val="30"/>
          <w:szCs w:val="30"/>
        </w:rPr>
        <w:t>NG M</w:t>
      </w:r>
      <w:r>
        <w:rPr>
          <w:rStyle w:val="Strong"/>
          <w:color w:val="000000"/>
          <w:sz w:val="30"/>
          <w:szCs w:val="30"/>
        </w:rPr>
        <w:t>Ắ</w:t>
      </w:r>
      <w:r>
        <w:rPr>
          <w:rStyle w:val="Strong"/>
          <w:color w:val="000000"/>
          <w:sz w:val="30"/>
          <w:szCs w:val="30"/>
        </w:rPr>
        <w:t>C DO QUY Đ</w:t>
      </w:r>
      <w:r>
        <w:rPr>
          <w:rStyle w:val="Strong"/>
          <w:color w:val="000000"/>
          <w:sz w:val="30"/>
          <w:szCs w:val="30"/>
        </w:rPr>
        <w:t>Ị</w:t>
      </w:r>
      <w:r>
        <w:rPr>
          <w:rStyle w:val="Strong"/>
          <w:color w:val="000000"/>
          <w:sz w:val="30"/>
          <w:szCs w:val="30"/>
        </w:rPr>
        <w:t>NH PHÁP LU</w:t>
      </w:r>
      <w:r>
        <w:rPr>
          <w:rStyle w:val="Strong"/>
          <w:color w:val="000000"/>
          <w:sz w:val="30"/>
          <w:szCs w:val="30"/>
        </w:rPr>
        <w:t>Ậ</w:t>
      </w:r>
      <w:r>
        <w:rPr>
          <w:rStyle w:val="Strong"/>
          <w:color w:val="000000"/>
          <w:sz w:val="30"/>
          <w:szCs w:val="30"/>
        </w:rPr>
        <w:t>T</w:t>
      </w:r>
    </w:p>
    <w:p w:rsidR="00000000" w:rsidRDefault="00776A40">
      <w:pPr>
        <w:pStyle w:val="NormalWeb"/>
        <w:jc w:val="center"/>
        <w:divId w:val="1078747452"/>
        <w:rPr>
          <w:color w:val="000000"/>
        </w:rPr>
      </w:pPr>
      <w:r>
        <w:rPr>
          <w:rStyle w:val="Strong"/>
          <w:color w:val="000000"/>
          <w:sz w:val="30"/>
          <w:szCs w:val="30"/>
        </w:rPr>
        <w:t>Tiêu chí: Quy đ</w:t>
      </w:r>
      <w:r>
        <w:rPr>
          <w:rStyle w:val="Strong"/>
          <w:color w:val="000000"/>
          <w:sz w:val="30"/>
          <w:szCs w:val="30"/>
        </w:rPr>
        <w:t>ị</w:t>
      </w:r>
      <w:r>
        <w:rPr>
          <w:rStyle w:val="Strong"/>
          <w:color w:val="000000"/>
          <w:sz w:val="30"/>
          <w:szCs w:val="30"/>
        </w:rPr>
        <w:t>nh c</w:t>
      </w:r>
      <w:r>
        <w:rPr>
          <w:rStyle w:val="Strong"/>
          <w:color w:val="000000"/>
          <w:sz w:val="30"/>
          <w:szCs w:val="30"/>
        </w:rPr>
        <w:t>ủ</w:t>
      </w:r>
      <w:r>
        <w:rPr>
          <w:rStyle w:val="Strong"/>
          <w:color w:val="000000"/>
          <w:sz w:val="30"/>
          <w:szCs w:val="30"/>
        </w:rPr>
        <w:t>a VBQPPL không rõ ràng, có nhi</w:t>
      </w:r>
      <w:r>
        <w:rPr>
          <w:rStyle w:val="Strong"/>
          <w:color w:val="000000"/>
          <w:sz w:val="30"/>
          <w:szCs w:val="30"/>
        </w:rPr>
        <w:t>ề</w:t>
      </w:r>
      <w:r>
        <w:rPr>
          <w:rStyle w:val="Strong"/>
          <w:color w:val="000000"/>
          <w:sz w:val="30"/>
          <w:szCs w:val="30"/>
        </w:rPr>
        <w:t>u cách hi</w:t>
      </w:r>
      <w:r>
        <w:rPr>
          <w:rStyle w:val="Strong"/>
          <w:color w:val="000000"/>
          <w:sz w:val="30"/>
          <w:szCs w:val="30"/>
        </w:rPr>
        <w:t>ể</w:t>
      </w:r>
      <w:r>
        <w:rPr>
          <w:rStyle w:val="Strong"/>
          <w:color w:val="000000"/>
          <w:sz w:val="30"/>
          <w:szCs w:val="30"/>
        </w:rPr>
        <w:t>u khác nhau, không h</w:t>
      </w:r>
      <w:r>
        <w:rPr>
          <w:rStyle w:val="Strong"/>
          <w:color w:val="000000"/>
          <w:sz w:val="30"/>
          <w:szCs w:val="30"/>
        </w:rPr>
        <w:t>ợ</w:t>
      </w:r>
      <w:r>
        <w:rPr>
          <w:rStyle w:val="Strong"/>
          <w:color w:val="000000"/>
          <w:sz w:val="30"/>
          <w:szCs w:val="30"/>
        </w:rPr>
        <w:t>p lý, không kh</w:t>
      </w:r>
      <w:r>
        <w:rPr>
          <w:rStyle w:val="Strong"/>
          <w:color w:val="000000"/>
          <w:sz w:val="30"/>
          <w:szCs w:val="30"/>
        </w:rPr>
        <w:t>ả</w:t>
      </w:r>
      <w:r>
        <w:rPr>
          <w:rStyle w:val="Strong"/>
          <w:color w:val="000000"/>
          <w:sz w:val="30"/>
          <w:szCs w:val="30"/>
        </w:rPr>
        <w:t xml:space="preserve"> thi, gây khó khăn trong áp d</w:t>
      </w:r>
      <w:r>
        <w:rPr>
          <w:rStyle w:val="Strong"/>
          <w:color w:val="000000"/>
          <w:sz w:val="30"/>
          <w:szCs w:val="30"/>
        </w:rPr>
        <w:t>ụ</w:t>
      </w:r>
      <w:r>
        <w:rPr>
          <w:rStyle w:val="Strong"/>
          <w:color w:val="000000"/>
          <w:sz w:val="30"/>
          <w:szCs w:val="30"/>
        </w:rPr>
        <w:t>ng, th</w:t>
      </w:r>
      <w:r>
        <w:rPr>
          <w:rStyle w:val="Strong"/>
          <w:color w:val="000000"/>
          <w:sz w:val="30"/>
          <w:szCs w:val="30"/>
        </w:rPr>
        <w:t>ự</w:t>
      </w:r>
      <w:r>
        <w:rPr>
          <w:rStyle w:val="Strong"/>
          <w:color w:val="000000"/>
          <w:sz w:val="30"/>
          <w:szCs w:val="30"/>
        </w:rPr>
        <w:t>c hi</w:t>
      </w:r>
      <w:r>
        <w:rPr>
          <w:rStyle w:val="Strong"/>
          <w:color w:val="000000"/>
          <w:sz w:val="30"/>
          <w:szCs w:val="30"/>
        </w:rPr>
        <w:t>ệ</w:t>
      </w:r>
      <w:r>
        <w:rPr>
          <w:rStyle w:val="Strong"/>
          <w:color w:val="000000"/>
          <w:sz w:val="30"/>
          <w:szCs w:val="30"/>
        </w:rPr>
        <w:t>n pháp lu</w:t>
      </w:r>
      <w:r>
        <w:rPr>
          <w:rStyle w:val="Strong"/>
          <w:color w:val="000000"/>
          <w:sz w:val="30"/>
          <w:szCs w:val="30"/>
        </w:rPr>
        <w:t>ậ</w:t>
      </w:r>
      <w:r>
        <w:rPr>
          <w:rStyle w:val="Strong"/>
          <w:color w:val="000000"/>
          <w:sz w:val="30"/>
          <w:szCs w:val="30"/>
        </w:rPr>
        <w:t>t</w:t>
      </w:r>
    </w:p>
    <w:p w:rsidR="00000000" w:rsidRDefault="00776A40">
      <w:pPr>
        <w:pStyle w:val="NormalWeb"/>
        <w:jc w:val="center"/>
        <w:divId w:val="1078747452"/>
        <w:rPr>
          <w:color w:val="000000"/>
        </w:rPr>
      </w:pPr>
      <w:r>
        <w:rPr>
          <w:color w:val="000000"/>
        </w:rPr>
        <w:t>B</w:t>
      </w:r>
      <w:r>
        <w:rPr>
          <w:color w:val="000000"/>
        </w:rPr>
        <w:t>ộ</w:t>
      </w:r>
      <w:r>
        <w:rPr>
          <w:color w:val="000000"/>
        </w:rPr>
        <w:t>, ngành, cơ quan, đơn v</w:t>
      </w:r>
      <w:r>
        <w:rPr>
          <w:color w:val="000000"/>
        </w:rPr>
        <w:t>ị</w:t>
      </w:r>
      <w:r>
        <w:rPr>
          <w:color w:val="000000"/>
        </w:rPr>
        <w:t xml:space="preserve"> thu</w:t>
      </w:r>
      <w:r>
        <w:rPr>
          <w:color w:val="000000"/>
        </w:rPr>
        <w:t>ộ</w:t>
      </w:r>
      <w:r>
        <w:rPr>
          <w:color w:val="000000"/>
        </w:rPr>
        <w:t>c B</w:t>
      </w:r>
      <w:r>
        <w:rPr>
          <w:color w:val="000000"/>
        </w:rPr>
        <w:t>ộ</w:t>
      </w:r>
      <w:r>
        <w:rPr>
          <w:color w:val="000000"/>
        </w:rPr>
        <w:t xml:space="preserve"> Tư pháp cho ý ki</w:t>
      </w:r>
      <w:r>
        <w:rPr>
          <w:color w:val="000000"/>
        </w:rPr>
        <w:t>ế</w:t>
      </w:r>
      <w:r>
        <w:rPr>
          <w:color w:val="000000"/>
        </w:rPr>
        <w:t>n:…………………………</w:t>
      </w:r>
    </w:p>
    <w:p w:rsidR="00000000" w:rsidRDefault="00776A40">
      <w:pPr>
        <w:pStyle w:val="NormalWeb"/>
        <w:jc w:val="center"/>
        <w:divId w:val="1078747452"/>
        <w:rPr>
          <w:color w:val="000000"/>
        </w:rPr>
      </w:pPr>
      <w:r>
        <w:rPr>
          <w:rStyle w:val="Emphasis"/>
          <w:color w:val="000000"/>
        </w:rPr>
        <w:t>(Kèm theo Báo cáo s</w:t>
      </w:r>
      <w:r>
        <w:rPr>
          <w:rStyle w:val="Emphasis"/>
          <w:color w:val="000000"/>
        </w:rPr>
        <w:t>ố</w:t>
      </w:r>
      <w:r>
        <w:rPr>
          <w:rStyle w:val="Emphasis"/>
          <w:color w:val="000000"/>
        </w:rPr>
        <w:t>…… ngày …….c</w:t>
      </w:r>
      <w:r>
        <w:rPr>
          <w:rStyle w:val="Emphasis"/>
          <w:color w:val="000000"/>
        </w:rPr>
        <w:t>ủ</w:t>
      </w:r>
      <w:r>
        <w:rPr>
          <w:rStyle w:val="Emphasis"/>
          <w:color w:val="000000"/>
        </w:rPr>
        <w:t>a…………..)</w:t>
      </w:r>
    </w:p>
    <w:p w:rsidR="00000000" w:rsidRDefault="00776A40">
      <w:pPr>
        <w:pStyle w:val="NormalWeb"/>
        <w:jc w:val="center"/>
        <w:divId w:val="1078747452"/>
        <w:rPr>
          <w:color w:val="000000"/>
        </w:rPr>
      </w:pPr>
      <w:r>
        <w:rPr>
          <w:rStyle w:val="Emphasis"/>
          <w:color w:val="000000"/>
        </w:rPr>
        <w:t>___________________</w:t>
      </w:r>
    </w:p>
    <w:p w:rsidR="00000000" w:rsidRDefault="00776A40">
      <w:pPr>
        <w:pStyle w:val="Heading3"/>
        <w:jc w:val="center"/>
        <w:divId w:val="1061446441"/>
        <w:rPr>
          <w:rFonts w:ascii="FontAwesome" w:eastAsia="Times New Roman" w:hAnsi="FontAwesome"/>
          <w:caps/>
          <w:vanish/>
          <w:color w:val="000000"/>
          <w:sz w:val="36"/>
          <w:szCs w:val="36"/>
        </w:rPr>
      </w:pPr>
      <w:r>
        <w:rPr>
          <w:rFonts w:ascii="FontAwesome" w:eastAsia="Times New Roman" w:hAnsi="FontAwesome"/>
          <w:caps/>
          <w:vanish/>
          <w:color w:val="000000"/>
          <w:sz w:val="36"/>
          <w:szCs w:val="36"/>
        </w:rPr>
        <w:t>Tiêu chí 2 - Quy định của VBQPPL không rõ ràng, có nhiều cách hiểu khác nhau, không hợp lý, không khả thi, gây khó khăn trong áp</w:t>
      </w:r>
      <w:r>
        <w:rPr>
          <w:rFonts w:ascii="FontAwesome" w:eastAsia="Times New Roman" w:hAnsi="FontAwesome"/>
          <w:caps/>
          <w:vanish/>
          <w:color w:val="000000"/>
          <w:sz w:val="36"/>
          <w:szCs w:val="36"/>
        </w:rPr>
        <w:t xml:space="preserve"> dụng, thực hiện pháp luật</w:t>
      </w:r>
    </w:p>
    <w:tbl>
      <w:tblPr>
        <w:tblW w:w="0" w:type="dxa"/>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571"/>
        <w:gridCol w:w="1791"/>
        <w:gridCol w:w="3785"/>
        <w:gridCol w:w="1182"/>
        <w:gridCol w:w="1182"/>
        <w:gridCol w:w="2484"/>
        <w:gridCol w:w="1182"/>
        <w:gridCol w:w="843"/>
      </w:tblGrid>
      <w:tr w:rsidR="00000000">
        <w:trPr>
          <w:divId w:val="2049797758"/>
          <w:tblHeade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776A40">
            <w:pPr>
              <w:jc w:val="center"/>
              <w:rPr>
                <w:rFonts w:ascii="Times" w:eastAsia="Times New Roman" w:hAnsi="Times"/>
                <w:b/>
                <w:bCs/>
                <w:sz w:val="27"/>
                <w:szCs w:val="27"/>
              </w:rPr>
            </w:pPr>
            <w:r>
              <w:rPr>
                <w:rFonts w:ascii="Times" w:eastAsia="Times New Roman" w:hAnsi="Times"/>
                <w:b/>
                <w:bCs/>
                <w:sz w:val="27"/>
                <w:szCs w:val="27"/>
              </w:rPr>
              <w:t>STT</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776A40">
            <w:pPr>
              <w:jc w:val="center"/>
              <w:rPr>
                <w:rFonts w:ascii="Times" w:eastAsia="Times New Roman" w:hAnsi="Times"/>
                <w:b/>
                <w:bCs/>
                <w:sz w:val="27"/>
                <w:szCs w:val="27"/>
              </w:rPr>
            </w:pPr>
            <w:r>
              <w:rPr>
                <w:rFonts w:ascii="Times" w:eastAsia="Times New Roman" w:hAnsi="Times"/>
                <w:b/>
                <w:bCs/>
                <w:sz w:val="27"/>
                <w:szCs w:val="27"/>
              </w:rPr>
              <w:t>Điều, khoản, điểm, tên văn bản đề xuất xử lý</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776A40">
            <w:pPr>
              <w:jc w:val="center"/>
              <w:rPr>
                <w:rFonts w:ascii="Times" w:eastAsia="Times New Roman" w:hAnsi="Times"/>
                <w:b/>
                <w:bCs/>
                <w:sz w:val="27"/>
                <w:szCs w:val="27"/>
              </w:rPr>
            </w:pPr>
            <w:r>
              <w:rPr>
                <w:rFonts w:ascii="Times" w:eastAsia="Times New Roman" w:hAnsi="Times"/>
                <w:b/>
                <w:bCs/>
                <w:sz w:val="27"/>
                <w:szCs w:val="27"/>
              </w:rPr>
              <w:t>Nội dung quy định được phản ánh không rõ ràng, có nhiều cách hiểu khác nhau, không hợp lý, không khả thi, gây khó khăn trong áp dụng, thực hiện pháp luật</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776A40">
            <w:pPr>
              <w:jc w:val="center"/>
              <w:rPr>
                <w:rFonts w:ascii="Times" w:eastAsia="Times New Roman" w:hAnsi="Times"/>
                <w:b/>
                <w:bCs/>
                <w:sz w:val="27"/>
                <w:szCs w:val="27"/>
              </w:rPr>
            </w:pPr>
            <w:r>
              <w:rPr>
                <w:rFonts w:ascii="Times" w:eastAsia="Times New Roman" w:hAnsi="Times"/>
                <w:b/>
                <w:bCs/>
                <w:sz w:val="27"/>
                <w:szCs w:val="27"/>
              </w:rPr>
              <w:t>Phương án xử lý đ</w:t>
            </w:r>
            <w:r>
              <w:rPr>
                <w:rFonts w:ascii="Times" w:eastAsia="Times New Roman" w:hAnsi="Times"/>
                <w:b/>
                <w:bCs/>
                <w:sz w:val="27"/>
                <w:szCs w:val="27"/>
              </w:rPr>
              <w:t>ược đề xuất</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776A40">
            <w:pPr>
              <w:jc w:val="center"/>
              <w:rPr>
                <w:rFonts w:ascii="Times" w:eastAsia="Times New Roman" w:hAnsi="Times"/>
                <w:b/>
                <w:bCs/>
                <w:sz w:val="27"/>
                <w:szCs w:val="27"/>
              </w:rPr>
            </w:pPr>
            <w:r>
              <w:rPr>
                <w:rFonts w:ascii="Times" w:eastAsia="Times New Roman" w:hAnsi="Times"/>
                <w:b/>
                <w:bCs/>
                <w:sz w:val="27"/>
                <w:szCs w:val="27"/>
              </w:rPr>
              <w:t>Cơ quan, tổ chức rà soát, phản ánh</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776A40">
            <w:pPr>
              <w:jc w:val="center"/>
              <w:rPr>
                <w:rFonts w:ascii="Times" w:eastAsia="Times New Roman" w:hAnsi="Times"/>
                <w:b/>
                <w:bCs/>
                <w:sz w:val="27"/>
                <w:szCs w:val="27"/>
              </w:rPr>
            </w:pPr>
            <w:r>
              <w:rPr>
                <w:rFonts w:ascii="Times" w:eastAsia="Times New Roman" w:hAnsi="Times"/>
                <w:b/>
                <w:bCs/>
                <w:sz w:val="27"/>
                <w:szCs w:val="27"/>
              </w:rPr>
              <w:t>Ý kiến của Bộ, ngành, cơ quan về nội dung rà soát, phản ánh</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776A40">
            <w:pPr>
              <w:jc w:val="center"/>
              <w:rPr>
                <w:rFonts w:ascii="Times" w:eastAsia="Times New Roman" w:hAnsi="Times"/>
                <w:b/>
                <w:bCs/>
                <w:sz w:val="27"/>
                <w:szCs w:val="27"/>
              </w:rPr>
            </w:pPr>
            <w:r>
              <w:rPr>
                <w:rFonts w:ascii="Times" w:eastAsia="Times New Roman" w:hAnsi="Times"/>
                <w:b/>
                <w:bCs/>
                <w:sz w:val="27"/>
                <w:szCs w:val="27"/>
              </w:rPr>
              <w:t>Ý kiến của Bộ Tư pháp về nội dung rà soát, phản ánh</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776A40">
            <w:pPr>
              <w:jc w:val="center"/>
              <w:rPr>
                <w:rFonts w:ascii="Times" w:eastAsia="Times New Roman" w:hAnsi="Times"/>
                <w:b/>
                <w:bCs/>
                <w:sz w:val="27"/>
                <w:szCs w:val="27"/>
              </w:rPr>
            </w:pPr>
            <w:r>
              <w:rPr>
                <w:rFonts w:ascii="Times" w:eastAsia="Times New Roman" w:hAnsi="Times"/>
                <w:b/>
                <w:bCs/>
                <w:sz w:val="27"/>
                <w:szCs w:val="27"/>
              </w:rPr>
              <w:t>Thời gian cập nhật</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Điều 304 Bộ luật Hình sự; Khoản 5, Điều 11 </w:t>
            </w:r>
            <w:r>
              <w:rPr>
                <w:rFonts w:ascii="Times" w:eastAsia="Times New Roman" w:hAnsi="Times"/>
              </w:rPr>
              <w:t xml:space="preserve">Nghị định 144/2021/NĐ-CP ngày 31/12/2021 của Chính phủ quy định xử phạt vi </w:t>
            </w:r>
            <w:r>
              <w:rPr>
                <w:rFonts w:ascii="Times" w:eastAsia="Times New Roman" w:hAnsi="Times"/>
              </w:rPr>
              <w:lastRenderedPageBreak/>
              <w:t>phạm hành chính trong lĩnh vực an ninh, trật tự, an toàn xã hội; phòng, chống tệ nạn xã hội; phòng cháy, chữa cháy; cứu nạn, cứu hộ; phòng, chống bạo lực gia đình.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Điều 304 Bộ luật Hình sự và khoản 5, Điều 11 Nghị định 144/2021/NĐ-CP đều quy định về một hành vi: “Chế tạo, tàng trữ, vận chuyển, sử dụng trái phép vũ khí quân dụng” nhưng không quy định tiêu chí cụ thể để xác định trường hợp nào xử phạt hành chính, trườn</w:t>
            </w:r>
            <w:r>
              <w:rPr>
                <w:rFonts w:ascii="Times" w:eastAsia="Times New Roman" w:hAnsi="Times"/>
              </w:rPr>
              <w:t xml:space="preserve">g hợp nào xử lý </w:t>
            </w:r>
            <w:r>
              <w:rPr>
                <w:rFonts w:ascii="Times" w:eastAsia="Times New Roman" w:hAnsi="Times"/>
              </w:rPr>
              <w:lastRenderedPageBreak/>
              <w:t>hình sự.</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C. Sửa đổi, bổ sung, thay thế, ban hành mới VBQPPL (theo trình </w:t>
            </w:r>
            <w:r>
              <w:rPr>
                <w:rFonts w:ascii="Times" w:eastAsia="Times New Roman" w:hAnsi="Times"/>
              </w:rPr>
              <w:lastRenderedPageBreak/>
              <w:t>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Sở Tư pháp tỉnh Quảng Trị</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16-07-2025 13:58:15</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2</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Điều 318 Bộ luật Hình sự; Điều 7 Nghị định</w:t>
            </w:r>
            <w:r>
              <w:rPr>
                <w:rFonts w:ascii="Times" w:eastAsia="Times New Roman" w:hAnsi="Times"/>
              </w:rPr>
              <w:t xml:space="preserve"> 144/2021/NĐ-CP ngày 31/12/2021 của Chính phủ quy định xử phạt vi phạm hành chính trong lĩnh vực an ninh, trật tự, an toàn xã hội; phòng, </w:t>
            </w:r>
            <w:r>
              <w:rPr>
                <w:rFonts w:ascii="Times" w:eastAsia="Times New Roman" w:hAnsi="Times"/>
              </w:rPr>
              <w:lastRenderedPageBreak/>
              <w:t>chống tệ nạn xã hội; phòng cháy, chữa cháy; cứu nạn, cứu hộ; phòng, chống bạo lực gia đình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Điều 7 Nghị định 144/2021/NĐ-CP và Điều 318 Bộ luật Hình sự đều quy định về hành vi vi phạm gây rối trật tự công cộng, tuy nhiên không phân định rõ trường hợp nào xử lý VPHC, trường hợp nào truy cứu TNHS</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C. Sửa đổi, bổ sung, thay thế, ban hành mới VBQPPL </w:t>
            </w:r>
            <w:r>
              <w:rPr>
                <w:rFonts w:ascii="Times" w:eastAsia="Times New Roman" w:hAnsi="Times"/>
              </w:rPr>
              <w:t xml:space="preserve">(theo trình tự, thủ tục rút gọn ban hành VBQPPL </w:t>
            </w:r>
            <w:r>
              <w:rPr>
                <w:rFonts w:ascii="Times" w:eastAsia="Times New Roman" w:hAnsi="Times"/>
              </w:rPr>
              <w:lastRenderedPageBreak/>
              <w:t>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Sở Tư pháp tỉnh Quảng Trị</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16-07-2025 13:58:15</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3</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Điều 4, 7, 10 và các điều liên quan của Thông tư liên tịch số 04/2018/TTLT-VKSNDTC-BCA-BQP ngày 19/10/2018 của Viện kiể</w:t>
            </w:r>
            <w:r>
              <w:rPr>
                <w:rFonts w:ascii="Times" w:eastAsia="Times New Roman" w:hAnsi="Times"/>
              </w:rPr>
              <w:t>m sát nhân dân tối cao, Bộ Công an và Bộ Quốc phòng</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TTLT 04/2018 quy định mối quan hệ phối hợp giữa Cơ quan điều tra và Viện kiểm sát "cùng cấp". Theo mô hình mới, Điều tra viên tại Công an cấp xã thuộc biên chế CQĐT Công an cấp tỉnh, nhưng Viện kiểm sát </w:t>
            </w:r>
            <w:r>
              <w:rPr>
                <w:rFonts w:ascii="Times" w:eastAsia="Times New Roman" w:hAnsi="Times"/>
              </w:rPr>
              <w:t>thực hành quyền công tố, kiểm sát điều tra lại là VKSND cấp khu vực. Sự "vênh" về cấp hành chính này khiến quy định "cùng cấp" trở nên không rõ ràng, không khả thi. Thực tiễn sẽ phát sinh vướng mắc: Viện kiểm sát cấp nào (tỉnh hay khu vực) sẽ có thẩm quyền</w:t>
            </w:r>
            <w:r>
              <w:rPr>
                <w:rFonts w:ascii="Times" w:eastAsia="Times New Roman" w:hAnsi="Times"/>
              </w:rPr>
              <w:t xml:space="preserve"> yêu cầu thay đổi Điều tra viên, phê chuẩn các lệnh, quyết định tố tụng? Sự không rõ ràng này gây ách tắc, chậm trễ trong hoạt </w:t>
            </w:r>
            <w:r>
              <w:rPr>
                <w:rFonts w:ascii="Times" w:eastAsia="Times New Roman" w:hAnsi="Times"/>
              </w:rPr>
              <w:lastRenderedPageBreak/>
              <w:t>động tố tụng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Sở Tư pháp tỉnh Quảng Trị</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16-07-2025 13:58:15</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4</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Thông tư số 72/2024/TT-BCA ngày 13/11/2024 của Bộ trưởng Bộ Công an quy định quy trình điều tra, giải quyết tai nạn giao thông đường bộ của cảnh sát giao thông</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Điều 5 Thông tư 72/2024/TT-BCA quy định khi phát hiện vụ TNGT có dấu hiệu tội phạm, phải báo cá</w:t>
            </w:r>
            <w:r>
              <w:rPr>
                <w:rFonts w:ascii="Times" w:eastAsia="Times New Roman" w:hAnsi="Times"/>
              </w:rPr>
              <w:t>o CQĐT Công an cấp huyện. Quy định này đã trở nên lạc hậu, không khả thi vì cấp huyện đã bị bãi bỏ. Luật Trật tự, an toàn giao thông đường bộ 2025 (Điều 29) đã phân loại TNGT thành 4 cấp độ. Tuy nhiên, Thông tư 72/2024 chưa được cập nhật, không có hướng dẫ</w:t>
            </w:r>
            <w:r>
              <w:rPr>
                <w:rFonts w:ascii="Times" w:eastAsia="Times New Roman" w:hAnsi="Times"/>
              </w:rPr>
              <w:t>n quy trình điều tra tương ứng với 04 cấp độ này. Quy định như trên phát sinh vướng mắc: Lực lượng Công an cấp xã khi tiếp nhận, giải quyết TNGT ban đầu sẽ không có quy trình chuẩn để áp dụng, không biết báo cáo cho cơ quan nào và không có căn cứ để tiến h</w:t>
            </w:r>
            <w:r>
              <w:rPr>
                <w:rFonts w:ascii="Times" w:eastAsia="Times New Roman" w:hAnsi="Times"/>
              </w:rPr>
              <w:t>ành các hoạt động điều tra ban đầu theo đúng phân loại của Luật.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Sở Tư pháp tỉnh Quảng Trị</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16-07-2025 13:58:15</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5</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Điều 304 Bộ luật Hình sự Khoản 5, Điều 11 Nghị định 144/2021/NĐ-CP ngày 31/12/2021 của Chính phủ quy định xử phạt vi phạm hành chính trong lĩnh vực an ninh, trật tự, an toàn xã hội; phòng, chống tệ nạn xã hội; phòng cháy, chữa cháy; cứu nạn, cứu hộ; phòng,</w:t>
            </w:r>
            <w:r>
              <w:rPr>
                <w:rFonts w:ascii="Times" w:eastAsia="Times New Roman" w:hAnsi="Times"/>
              </w:rPr>
              <w:t xml:space="preserve"> chống bạo lực gia đình.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Điều 304 Bộ luật Hình sự và khoản 5, Điều 11 Nghị định 144/2021/NĐ-CP đều quy định về một hành vi: “Chế tạo, tàng trữ, vận chuyển, sử dụng trái phép vũ khí quân dụng” nhưng không quy định tiêu chí cụ thể để xác định trường hợp nào</w:t>
            </w:r>
            <w:r>
              <w:rPr>
                <w:rFonts w:ascii="Times" w:eastAsia="Times New Roman" w:hAnsi="Times"/>
              </w:rPr>
              <w:t xml:space="preserve"> xử phạt hành chính, trường hợp nào xử lý hình sự.</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Sở Tư pháp tỉnh Quảng Trị</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16-07-2025 13:44:54</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6</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Điều 318 Bộ luật Hình sự Điều 7 Nghị định 144/2021/NĐ-CP </w:t>
            </w:r>
            <w:r>
              <w:rPr>
                <w:rFonts w:ascii="Times" w:eastAsia="Times New Roman" w:hAnsi="Times"/>
              </w:rPr>
              <w:lastRenderedPageBreak/>
              <w:t>ngày 31/12/2021 của Chính phủ quy định xử phạt vi phạm hành chính trong lĩnh vực an ninh, trật tự, an toàn xã hội; phòng, chống tệ nạn xã hội; phòng cháy, chữa cháy; cứu nạn, cứu hộ; phòng, chống bạo</w:t>
            </w:r>
            <w:r>
              <w:rPr>
                <w:rFonts w:ascii="Times" w:eastAsia="Times New Roman" w:hAnsi="Times"/>
              </w:rPr>
              <w:t xml:space="preserve"> lực gia đình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Điều 7 Nghị định 144/2021/NĐ-CP và Điều 318 Bộ luật Hình sự đều quy định về hành vi vi phạm gây rối trật tự công cộng, tuy nhiên không phân định rõ </w:t>
            </w:r>
            <w:r>
              <w:rPr>
                <w:rFonts w:ascii="Times" w:eastAsia="Times New Roman" w:hAnsi="Times"/>
              </w:rPr>
              <w:lastRenderedPageBreak/>
              <w:t>trường hợp nào xử lý VPHC, trường hợp nào truy cứu TNHS</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C. Sửa đổi, bổ sung, thay thế, ban h</w:t>
            </w:r>
            <w:r>
              <w:rPr>
                <w:rFonts w:ascii="Times" w:eastAsia="Times New Roman" w:hAnsi="Times"/>
              </w:rPr>
              <w:t xml:space="preserve">ành </w:t>
            </w:r>
            <w:r>
              <w:rPr>
                <w:rFonts w:ascii="Times" w:eastAsia="Times New Roman" w:hAnsi="Times"/>
              </w:rPr>
              <w:lastRenderedPageBreak/>
              <w:t>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Sở Tư pháp tỉnh Quảng Trị</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16-07-2025 13:44:54</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7</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Điều 4, 7, 10 và các điều liên quan của Thông tư liên tịch số 04/2018/TTLT-VKSNDTC-BCA-BQP ngày 19/10/2018 của </w:t>
            </w:r>
            <w:r>
              <w:rPr>
                <w:rFonts w:ascii="Times" w:eastAsia="Times New Roman" w:hAnsi="Times"/>
              </w:rPr>
              <w:lastRenderedPageBreak/>
              <w:t>Viện kiểm sát nhân dân tối cao, Bộ Công an và Bộ Quốc phòng</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TTLT 04/2018 quy định mối quan hệ phối hợp giữa Cơ quan điều tra và Viện kiểm sát "c</w:t>
            </w:r>
            <w:r>
              <w:rPr>
                <w:rFonts w:ascii="Times" w:eastAsia="Times New Roman" w:hAnsi="Times"/>
              </w:rPr>
              <w:t xml:space="preserve">ùng cấp". Theo mô hình mới, Điều tra viên tại Công an cấp xã thuộc biên chế CQĐT Công an cấp tỉnh, nhưng Viện kiểm sát thực hành quyền công tố, kiểm sát điều tra lại là VKSND cấp khu vực. Sự "vênh" về cấp hành chính này </w:t>
            </w:r>
            <w:r>
              <w:rPr>
                <w:rFonts w:ascii="Times" w:eastAsia="Times New Roman" w:hAnsi="Times"/>
              </w:rPr>
              <w:lastRenderedPageBreak/>
              <w:t>khiến quy định "cùng cấp" trở nên kh</w:t>
            </w:r>
            <w:r>
              <w:rPr>
                <w:rFonts w:ascii="Times" w:eastAsia="Times New Roman" w:hAnsi="Times"/>
              </w:rPr>
              <w:t>ông rõ ràng, không khả thi. Thực tiễn sẽ phát sinh vướng mắc: Viện kiểm sát cấp nào (tỉnh hay khu vực) sẽ có thẩm quyền yêu cầu thay đổi Điều tra viên, phê chuẩn các lệnh, quyết định tố tụng? Sự không rõ ràng này gây ách tắc, chậm trễ trong hoạt động tố tụ</w:t>
            </w:r>
            <w:r>
              <w:rPr>
                <w:rFonts w:ascii="Times" w:eastAsia="Times New Roman" w:hAnsi="Times"/>
              </w:rPr>
              <w:t>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C. Sửa đổi, bổ sung, thay thế, ban hành mới VBQPPL (theo trình tự, thủ tục </w:t>
            </w:r>
            <w:r>
              <w:rPr>
                <w:rFonts w:ascii="Times" w:eastAsia="Times New Roman" w:hAnsi="Times"/>
              </w:rPr>
              <w:lastRenderedPageBreak/>
              <w:t>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Sở Tư pháp tỉnh Quảng Trị</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16-07-2025 13:44:54</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8</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Thông tư số 72/2024/TT-BCA ngày 13/11/2024 của Bộ trưởng Bộ Công an quy định quy trình điều tra, giải quyết tai nạn giao thông đường bộ của cảnh sát giao thông</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Điều 5 Thông tư 72/2024/TT-BCA quy định khi phát hiện vụ TNGT có dấu hiệu tội phạm, phải báo cá</w:t>
            </w:r>
            <w:r>
              <w:rPr>
                <w:rFonts w:ascii="Times" w:eastAsia="Times New Roman" w:hAnsi="Times"/>
              </w:rPr>
              <w:t>o CQĐT Công an cấp huyện. Quy định này đã trở nên lạc hậu, không khả thi vì cấp huyện đã bị bãi bỏ Luật Trật tự, an toàn giao thông đường bộ 2025 (Điều 29) đã phân loại TNGT thành 4 cấp độ. Tuy nhiên, Thông tư 72/2024 chưa được cập nhật, không có hướng dẫn</w:t>
            </w:r>
            <w:r>
              <w:rPr>
                <w:rFonts w:ascii="Times" w:eastAsia="Times New Roman" w:hAnsi="Times"/>
              </w:rPr>
              <w:t xml:space="preserve"> quy trình điều tra tương ứng với 04 cấp độ này. Quy định như trên phát sinh vướng mắc: Lực lượng Công an cấp xã khi tiếp nhận, giải quyết TNGT </w:t>
            </w:r>
            <w:r>
              <w:rPr>
                <w:rFonts w:ascii="Times" w:eastAsia="Times New Roman" w:hAnsi="Times"/>
              </w:rPr>
              <w:lastRenderedPageBreak/>
              <w:t>ban đầu sẽ không có quy trình chuẩn để áp dụng, không biết báo cáo cho cơ quan nào và không có căn cứ để tiến hà</w:t>
            </w:r>
            <w:r>
              <w:rPr>
                <w:rFonts w:ascii="Times" w:eastAsia="Times New Roman" w:hAnsi="Times"/>
              </w:rPr>
              <w:t>nh các hoạt động điều tra ban đầu theo đúng phân loại của Luật.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C. Sửa đổi, bổ sung, thay thế, ban hành mới VBQPPL (theo trình tự, thủ tục rút gọn ban hành VBQPPL của Luật Ban hành </w:t>
            </w:r>
            <w:r>
              <w:rPr>
                <w:rFonts w:ascii="Times" w:eastAsia="Times New Roman" w:hAnsi="Times"/>
              </w:rPr>
              <w:lastRenderedPageBreak/>
              <w:t>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Sở Tư pháp tỉnh Quảng Trị</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16-07-2025 13:44:54</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9</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Nghị định số 166/2013/NĐ-CP ngày 12/11/2013 của Chính phủ quy định về cưỡng chế thi hành quyết định xử phạt vi phạm hành chính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Nghị định số 166/2013/NĐ-CP có nhiều quy định không còn phù hợp, chưa rõ ràng cần ban hành Nghị định thay thế để thống nhất áp d</w:t>
            </w:r>
            <w:r>
              <w:rPr>
                <w:rFonts w:ascii="Times" w:eastAsia="Times New Roman" w:hAnsi="Times"/>
              </w:rPr>
              <w:t>ụng trong thực tiễn.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Sở Tư pháp tỉnh Hải Phòng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16-07-2025 10:39:41</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10</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Khoản 3 Điều 3 Nghị định số 166/2013/NĐ-CP</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Khoản 3 Điều 3 Nghị định số 166/2013/NĐ-CP quy định: “3. Người có thẩm quyền ra quyết định cưỡng chế quyết định áp dụng các biện pháp cưỡng chế theo thứ tự quy định tại Khoản 2 Điều 86 Luật xử lý vi phạm hành chính. Chỉ áp dụng các biện pháp tiếp theo khi </w:t>
            </w:r>
            <w:r>
              <w:rPr>
                <w:rFonts w:ascii="Times" w:eastAsia="Times New Roman" w:hAnsi="Times"/>
              </w:rPr>
              <w:t xml:space="preserve">không thể áp dụng các biện pháp cưỡng chế đó hoặc đã áp dụng nhưng chưa thu đủ số tiền bị cưỡng chế theo quyết định cưỡng chế.” Quy định pháp luật này gây khó khăn, vướng mắc trong quá trình áp dụng, thực hiện đối với trường hợp tài khoản của đối tượng vi </w:t>
            </w:r>
            <w:r>
              <w:rPr>
                <w:rFonts w:ascii="Times" w:eastAsia="Times New Roman" w:hAnsi="Times"/>
              </w:rPr>
              <w:t>phạm còn quá ít, việc cưỡng chế gây mất thủ tục, thời gian, chi phí khác; trong khi theo quy định phải áp dụng kê biên tiền từ tài khoản nhưng chưa thu đủ số tiền bị cưỡng chế theo quy định thì mới được áp dụng biện pháp cưỡng chế tiếp theo.</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C. Sửa đổi, b</w:t>
            </w:r>
            <w:r>
              <w:rPr>
                <w:rFonts w:ascii="Times" w:eastAsia="Times New Roman" w:hAnsi="Times"/>
              </w:rPr>
              <w:t>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Sở Tư pháp tỉnh Hải Phòng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16-07-2025 10:39:41</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11</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Điểm d khoản 1 Điều 3 Luật Xử lý vi phạm hành chính -Nghị định số 106/2025/NĐ-CP ngày 15/5/2025 của Chính phủ quy định xử phạt vi phạm hành chính trong lĩnh vực phòng cháy, chữa cháy và cứu nạn, cứu hộ</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Điểm d khoản 1 Điều 3 Luật Xử lý vi phạm hành chính</w:t>
            </w:r>
            <w:r>
              <w:rPr>
                <w:rFonts w:ascii="Times" w:eastAsia="Times New Roman" w:hAnsi="Times"/>
              </w:rPr>
              <w:t xml:space="preserve"> quy định ““d) Chỉ xử phạt vi phạm hành chính khi có hành vi vi phạm hành chính do pháp luật quy định. Một hành vi vi phạm hành chính chỉ bị xử phạt một lần. Nhiều người cùng thực hiện một hành vi vi phạm hành chính thì mỗi người vi phạm đều bị xử phạt về </w:t>
            </w:r>
            <w:r>
              <w:rPr>
                <w:rFonts w:ascii="Times" w:eastAsia="Times New Roman" w:hAnsi="Times"/>
              </w:rPr>
              <w:t>hành vi vi phạm hành chính đó. Một người thực hiện nhiều hành vi vi phạm hành chính hoặc vi phạm hành chính nhiều lần thì bị xử phạt về từng hành vi vi phạm, trừ trường hợp hành vi vi phạm hành chính nhiều lần được Chính phủ quy định là tình tiết tăng nặng</w:t>
            </w:r>
            <w:r>
              <w:rPr>
                <w:rFonts w:ascii="Times" w:eastAsia="Times New Roman" w:hAnsi="Times"/>
              </w:rPr>
              <w:t>;” Nghị định số 106/2025/NĐ-CP ngày 15/5/2025 của Chính phủ quy định xử phạt vi phạm hành chính trong lĩnh vực phòng cháy, chữa cháy và cứu nạn, cứu hộ không quy định cụ thể việc xử phạt đối với hành vi vi phạm hành chính nhiều lần. Do đó, gây khó khăn, vư</w:t>
            </w:r>
            <w:r>
              <w:rPr>
                <w:rFonts w:ascii="Times" w:eastAsia="Times New Roman" w:hAnsi="Times"/>
              </w:rPr>
              <w:t xml:space="preserve">ớng mắc trong việc xử phạt </w:t>
            </w:r>
            <w:r>
              <w:rPr>
                <w:rFonts w:ascii="Times" w:eastAsia="Times New Roman" w:hAnsi="Times"/>
              </w:rPr>
              <w:lastRenderedPageBreak/>
              <w:t>đối với nhiều công trình/hạng mục công trình vi phạm (do cùng một đối tượng vi phạm) đã được thẩm duyệt thiết kế hoặc thẩm định thiết kế về phòng cháy và chữa cháy vào khai thác, sử dụng khi chưa có văn bản chấp thuận kết quả ngh</w:t>
            </w:r>
            <w:r>
              <w:rPr>
                <w:rFonts w:ascii="Times" w:eastAsia="Times New Roman" w:hAnsi="Times"/>
              </w:rPr>
              <w:t>iệm thu về phòng cháy và chữa cháy của cơ quan quản lý chuyên ngành/ thuộc diện phải thẩm định thiết kế về phòng cháy và chữa cháy vào sử dụng, hoạt động khi chưa có văn bản thẩm định thiết kế về phòng cháy và chữa cháy và văn bản chấp thuận kết quả nghiệm</w:t>
            </w:r>
            <w:r>
              <w:rPr>
                <w:rFonts w:ascii="Times" w:eastAsia="Times New Roman" w:hAnsi="Times"/>
              </w:rPr>
              <w:t xml:space="preserve"> thu về phòng cháy và chữa cháy của cơ quan quản lý chuyên ngành.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Sở Tư pháp tỉnh Hải Phòng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16-07-2025 10:39:41</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12</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Nghị định số 166/2013/NĐ-CP ngày 12/11/2013 của Chính phủ quy định về cưỡng chế thi hành quyết định xử phạt vi phạm </w:t>
            </w:r>
            <w:r>
              <w:rPr>
                <w:rFonts w:ascii="Times" w:eastAsia="Times New Roman" w:hAnsi="Times"/>
              </w:rPr>
              <w:lastRenderedPageBreak/>
              <w:t>hành chính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Nghị định số 166/2013/NĐ-CP có nhiều quy định không còn phù hợp, chưa rõ ràng cần ban hành Nghị định thay thế để thống nhất áp d</w:t>
            </w:r>
            <w:r>
              <w:rPr>
                <w:rFonts w:ascii="Times" w:eastAsia="Times New Roman" w:hAnsi="Times"/>
              </w:rPr>
              <w:t>ụng trong thực tiễn.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C. Sửa đổi, bổ sung, thay thế, ban hành mới VBQPPL (theo trình </w:t>
            </w:r>
            <w:r>
              <w:rPr>
                <w:rFonts w:ascii="Times" w:eastAsia="Times New Roman" w:hAnsi="Times"/>
              </w:rPr>
              <w:lastRenderedPageBreak/>
              <w:t>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Sở Tư pháp tỉnh Hải Phòng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16-07-2025 08:08:57</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13</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Khoản 3 Điều 3 Nghị định số 166/2013/NĐ-CP</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Khoản 3 Điều 3 Nghị định số 166/2013/NĐ-CP quy định: “3. Người có thẩm quyền ra quyết định cưỡng chế quyết định áp dụng các biện pháp cưỡng chế theo thứ tự quy định tại Khoản 2 Điều 86 Luật xử lý vi phạm hành chính. Chỉ áp dụng các biện pháp tiếp theo khi </w:t>
            </w:r>
            <w:r>
              <w:rPr>
                <w:rFonts w:ascii="Times" w:eastAsia="Times New Roman" w:hAnsi="Times"/>
              </w:rPr>
              <w:t xml:space="preserve">không thể áp dụng các biện pháp cưỡng chế đó hoặc đã áp dụng nhưng chưa thu đủ số tiền bị cưỡng chế theo quyết định cưỡng chế.” Quy định pháp luật này gây khó khăn, vướng mắc trong quá trình áp dụng, thực hiện đối với trường hợp tài khoản của đối tượng vi </w:t>
            </w:r>
            <w:r>
              <w:rPr>
                <w:rFonts w:ascii="Times" w:eastAsia="Times New Roman" w:hAnsi="Times"/>
              </w:rPr>
              <w:t xml:space="preserve">phạm còn quá ít, việc </w:t>
            </w:r>
            <w:r>
              <w:rPr>
                <w:rFonts w:ascii="Times" w:eastAsia="Times New Roman" w:hAnsi="Times"/>
              </w:rPr>
              <w:lastRenderedPageBreak/>
              <w:t>cưỡng chế gây mất thủ tục, thời gian, chi phí khác; trong khi theo quy định phải áp dụng kê biên tiền từ tài khoản nhưng chưa thu đủ số tiền bị cưỡng chế theo quy định thì mới được áp dụng biện pháp cưỡng chế tiếp theo.</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C. Sửa đổi, b</w:t>
            </w:r>
            <w:r>
              <w:rPr>
                <w:rFonts w:ascii="Times" w:eastAsia="Times New Roman" w:hAnsi="Times"/>
              </w:rPr>
              <w:t xml:space="preserve">ổ sung, thay thế, ban hành mới VBQPPL (theo trình tự, thủ tục rút gọn ban hành VBQPPL của Luật Ban hành </w:t>
            </w:r>
            <w:r>
              <w:rPr>
                <w:rFonts w:ascii="Times" w:eastAsia="Times New Roman" w:hAnsi="Times"/>
              </w:rPr>
              <w:lastRenderedPageBreak/>
              <w:t>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Sở Tư pháp tỉnh Hải Phòng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16-07-2025 08:08:57</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14</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Điểm d khoản 1 Điều 3 Luật Xử lý vi phạm hành chính -Nghị định số 106/2025/NĐ-CP ngày 15/5/2025 của Chính phủ quy định xử phạt vi phạm hành chính trong lĩnh vực phòng cháy, chữa cháy và cứu nạn, cứu hộ</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Điểm d khoản 1 Điều 3 Luật Xử lý vi phạm hành chính</w:t>
            </w:r>
            <w:r>
              <w:rPr>
                <w:rFonts w:ascii="Times" w:eastAsia="Times New Roman" w:hAnsi="Times"/>
              </w:rPr>
              <w:t xml:space="preserve"> quy định ““d) Chỉ xử phạt vi phạm hành chính khi có hành vi vi phạm hành chính do pháp luật quy định. Một hành vi vi phạm hành chính chỉ bị xử phạt một lần. Nhiều người cùng thực hiện một hành vi vi phạm hành chính thì mỗi người vi phạm đều bị xử phạt về </w:t>
            </w:r>
            <w:r>
              <w:rPr>
                <w:rFonts w:ascii="Times" w:eastAsia="Times New Roman" w:hAnsi="Times"/>
              </w:rPr>
              <w:t>hành vi vi phạm hành chính đó. Một người thực hiện nhiều hành vi vi phạm hành chính hoặc vi phạm hành chính nhiều lần thì bị xử phạt về từng hành vi vi phạm, trừ trường hợp hành vi vi phạm hành chính nhiều lần được Chính phủ quy định là tình tiết tăng nặng</w:t>
            </w:r>
            <w:r>
              <w:rPr>
                <w:rFonts w:ascii="Times" w:eastAsia="Times New Roman" w:hAnsi="Times"/>
              </w:rPr>
              <w:t xml:space="preserve">;” Nghị định số </w:t>
            </w:r>
            <w:r>
              <w:rPr>
                <w:rFonts w:ascii="Times" w:eastAsia="Times New Roman" w:hAnsi="Times"/>
              </w:rPr>
              <w:lastRenderedPageBreak/>
              <w:t>106/2025/NĐ-CP ngày 15/5/2025 của Chính phủ quy định xử phạt vi phạm hành chính trong lĩnh vực phòng cháy, chữa cháy và cứu nạn, cứu hộ không quy định cụ thể việc xử phạt đối với hành vi vi phạm hành chính nhiều lần. Do đó, gây khó khăn, vư</w:t>
            </w:r>
            <w:r>
              <w:rPr>
                <w:rFonts w:ascii="Times" w:eastAsia="Times New Roman" w:hAnsi="Times"/>
              </w:rPr>
              <w:t>ớng mắc trong việc xử phạt đối với nhiều công trình/hạng mục công trình vi phạm (do cùng một đối tượng vi phạm) đã được thẩm duyệt thiết kế hoặc thẩm định thiết kế về phòng cháy và chữa cháy vào khai thác, sử dụng khi chưa có văn bản chấp thuận kết quả ngh</w:t>
            </w:r>
            <w:r>
              <w:rPr>
                <w:rFonts w:ascii="Times" w:eastAsia="Times New Roman" w:hAnsi="Times"/>
              </w:rPr>
              <w:t>iệm thu về phòng cháy và chữa cháy của cơ quan quản lý chuyên ngành/ thuộc diện phải thẩm định thiết kế về phòng cháy và chữa cháy vào sử dụng, hoạt động khi chưa có văn bản thẩm định thiết kế về phòng cháy và chữa cháy và văn bản chấp thuận kết quả nghiệm</w:t>
            </w:r>
            <w:r>
              <w:rPr>
                <w:rFonts w:ascii="Times" w:eastAsia="Times New Roman" w:hAnsi="Times"/>
              </w:rPr>
              <w:t xml:space="preserve"> thu về phòng cháy và chữa cháy của cơ quan quản lý chuyên ngành.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Sở Tư pháp tỉnh Hải Phòng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16-07-2025 08:08:57</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15</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Khoản 1 Điều 62 Luật Xử lý vi phạm hành chính năm 2012 (sửa đổi, bổ sung năm 2020, 2025) và Điều 6 Nghị định số 144/2021/NĐ-CP, ngày 31/12/2021 của Chính phủ quy định xử phạt vi phạm hành chính trong lĩnh vực an ninh, trật tự, an toàn xã hội; phòng, chống </w:t>
            </w:r>
            <w:r>
              <w:rPr>
                <w:rFonts w:ascii="Times" w:eastAsia="Times New Roman" w:hAnsi="Times"/>
              </w:rPr>
              <w:t>tệ nạn xã hội; phòng cháy, chữa cháy; cứu nạn, cứu hộ; phòng, chống bạo lực gia đình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Điều 6 Nghị định số 144/2021/NĐ-CP quy định: “Khi phát hiện hành vi vi phạm quy định tại điểm d khoản 1… và khoản 1 Điều 53 Nghị định này, thì người có thẩm quyền đang th</w:t>
            </w:r>
            <w:r>
              <w:rPr>
                <w:rFonts w:ascii="Times" w:eastAsia="Times New Roman" w:hAnsi="Times"/>
              </w:rPr>
              <w:t>ụ lý vụ việc phải chuyển hồ sơ vụ vi phạm đến cơ quan có thẩm quyền tiến hành tố tụng hình sự để truy cứu trách nhiệm hình sự theo quy định tại các khoản 1, 2 và 4 Điều 62 Luật Xử lý vi phạm hành chính”. Trong khi đó, Khoản 1 Điều 62 Luật Xử lý vi phạm hàn</w:t>
            </w:r>
            <w:r>
              <w:rPr>
                <w:rFonts w:ascii="Times" w:eastAsia="Times New Roman" w:hAnsi="Times"/>
              </w:rPr>
              <w:t>h chính quy định: “Trong quá trình xem xét, xử lý vụ vi phạm, nếu xét thấy hành vi vi phạm có dấu hiệu tội phạm, thì người có thẩm quyền đang giải quyết vụ việc phải chuyển hồ sơ liên quan đến hành vi có dấu hiệu tội phạm cho cơ quan có thẩm quyền tiến hàn</w:t>
            </w:r>
            <w:r>
              <w:rPr>
                <w:rFonts w:ascii="Times" w:eastAsia="Times New Roman" w:hAnsi="Times"/>
              </w:rPr>
              <w:t xml:space="preserve">h tố tụng hình sự”. Tức là hành vi nếu xét thấy có dấu hiệu tội phạm mới chuyển cho cơ quan tiến hành tố tụng hình sự để xử lý, dẫn đến việc áp dụng các quy định này trong xử phạt vi phạm </w:t>
            </w:r>
            <w:r>
              <w:rPr>
                <w:rFonts w:ascii="Times" w:eastAsia="Times New Roman" w:hAnsi="Times"/>
              </w:rPr>
              <w:lastRenderedPageBreak/>
              <w:t>hành chính không thống nhất. Thực tế đã xảy ra nhiều vụ việc, đặc bi</w:t>
            </w:r>
            <w:r>
              <w:rPr>
                <w:rFonts w:ascii="Times" w:eastAsia="Times New Roman" w:hAnsi="Times"/>
              </w:rPr>
              <w:t xml:space="preserve">ệt là hành vi Cố ý gây thương tích quy định tại điểm a khoản 5 Điều 7 Nghị định số 144/2021/NĐ-CP, nhiều trường hợp chỉ tác động vật lý bằng tay, chân thông thường, không để lại dấu vết trên thân thể, không gây thương tích, có thể xác định để xử phạt hành </w:t>
            </w:r>
            <w:r>
              <w:rPr>
                <w:rFonts w:ascii="Times" w:eastAsia="Times New Roman" w:hAnsi="Times"/>
              </w:rPr>
              <w:t>chính luôn, không cần qua cơ quan có thẩm quyền tiến hành tố tụng để xử lý. Trong khi đó, có địa phương phát hiện vụ việc tương tự đã vận dụng Điều 6 Nghị định số 144/2021/NĐ-CP để chuyển hồ sơ vụ việc cho cơ quan có thẩm quyền tiến hành tố tụng hình sự để</w:t>
            </w:r>
            <w:r>
              <w:rPr>
                <w:rFonts w:ascii="Times" w:eastAsia="Times New Roman" w:hAnsi="Times"/>
              </w:rPr>
              <w:t xml:space="preserve"> xem xét, truy cứu trách nhiệm hình sự.</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Sở Tư pháp tỉnh Lạng Sơn</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15-07-2025 16:42:44</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16</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Điểm a, khoản 3, Điều 18 Nghị định số 144/2021/NĐ-CP, ngày 31/12/2021 của </w:t>
            </w:r>
            <w:r>
              <w:rPr>
                <w:rFonts w:ascii="Times" w:eastAsia="Times New Roman" w:hAnsi="Times"/>
              </w:rPr>
              <w:lastRenderedPageBreak/>
              <w:t>Chính phủ về vi phạm các quy định về xuất cảnh, nhập cảnh, quá cảnh, cư trú và đi lại</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Tại điểm a, khoản 3, Điều 18 Nghị định số 144/2021/NĐ-CP, ngày 31/12/2021 của Chính phủ quy địn</w:t>
            </w:r>
            <w:r>
              <w:rPr>
                <w:rFonts w:ascii="Times" w:eastAsia="Times New Roman" w:hAnsi="Times"/>
              </w:rPr>
              <w:t xml:space="preserve">h các đối tượng có hành vi qua lại biên giới quốc gia mà không làm thủ tục xuất cảnh, nhập cảnh </w:t>
            </w:r>
            <w:r>
              <w:rPr>
                <w:rFonts w:ascii="Times" w:eastAsia="Times New Roman" w:hAnsi="Times"/>
              </w:rPr>
              <w:lastRenderedPageBreak/>
              <w:t xml:space="preserve">theo quy định bị phạt tiền từ 3.000.000đ đến 5.000.000đ. Tuy nhiên, phần lớn các đối tượng không có khả năng để chấp hành hình phạt chính (phạt tiền) do số này </w:t>
            </w:r>
            <w:r>
              <w:rPr>
                <w:rFonts w:ascii="Times" w:eastAsia="Times New Roman" w:hAnsi="Times"/>
              </w:rPr>
              <w:t>không có người thân tại Việt Nam, hầu như không mang theo tài sản, kinh phí, nên khi bị phát hiện, xử lý không có khả năng nộp phạt, không thể tự chi trả sinh hoạt cá nhân. Mặt khác, quá trình lập hồ sơ XLVPHC các đối tượng này phải có kết quả tra cứu về n</w:t>
            </w:r>
            <w:r>
              <w:rPr>
                <w:rFonts w:ascii="Times" w:eastAsia="Times New Roman" w:hAnsi="Times"/>
              </w:rPr>
              <w:t>gười của Công an tỉnh nơi thụ lý hồ sơ và Cục Hồ sơ nghiệp vụ - Bộ Công an, thời gian gửi yêu cầu tra cứu và chờ kết quả có thể kéo dài, ảnh hưởng đến tiến độ xử lý vụ việc, thời hạn lập biên bản VPHC, ra Quyết định XPVPHC chưa bảo đảm theo quy định; một s</w:t>
            </w:r>
            <w:r>
              <w:rPr>
                <w:rFonts w:ascii="Times" w:eastAsia="Times New Roman" w:hAnsi="Times"/>
              </w:rPr>
              <w:t>ố công dân lấy lý do số tiền phạt tương đối lớn, chưa có tiền để nộp phạt ngay nên chưa đến làm việc</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C. Sửa đổi, bổ sung, thay thế, ban hành mới </w:t>
            </w:r>
            <w:r>
              <w:rPr>
                <w:rFonts w:ascii="Times" w:eastAsia="Times New Roman" w:hAnsi="Times"/>
              </w:rPr>
              <w:lastRenderedPageBreak/>
              <w:t>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Sở Tư pháp tỉnh Lạng Sơn</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15-07-2025 16:42:44</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17</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Điểm b khoản 8 Điều 18 Nghị định số 144/2021/NĐ-CP về vi phạm các quy định về xuất cảnh, nhập cảnh, quá cảnh, cư trú và đi lại</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Điểm b khoản 8 Điều 18 Nghị định số 144/2021/NĐ-CP quy định “Trục xuất người nước ngoài vi phạm hành chính quy định tại các khoản 1, 2, 3, 4, 5, 6 và 7 Điều này”. Quy định như vậy có thể gây khó khăn trong quá trình áp dụng đối với một số trường hợp như: N</w:t>
            </w:r>
            <w:r>
              <w:rPr>
                <w:rFonts w:ascii="Times" w:eastAsia="Times New Roman" w:hAnsi="Times"/>
              </w:rPr>
              <w:t xml:space="preserve">gười nước ngoài đi lại trên lãnh thổ Việt Nam do sơ xuất, quên không mang theo hộ chiếu, thị thực, nếu chỉ vì vi phạm này mà trục xuất họ về nước là chưa phù hợp, có thể ảnh hưởng đến quan hệ đối ngoại giữa Việt Nam và các nước, thậm chí một số người nước </w:t>
            </w:r>
            <w:r>
              <w:rPr>
                <w:rFonts w:ascii="Times" w:eastAsia="Times New Roman" w:hAnsi="Times"/>
              </w:rPr>
              <w:t>ngoài đang là chủ đầu tư hoặc tham gia các dự án về kinh tế, hạ tầng, kỹ thuật…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Sở Tư pháp tỉnh Lạng Sơn</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15-07-2025 16:42:44</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18</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Khoản 12 Điều 2 Nghị định 13/2023/NĐ-CP về bảo vệ dữ liệu cá nhân Cần có hướng </w:t>
            </w:r>
            <w:r>
              <w:rPr>
                <w:rFonts w:ascii="Times" w:eastAsia="Times New Roman" w:hAnsi="Times"/>
              </w:rPr>
              <w:lastRenderedPageBreak/>
              <w:t>dẫn cụ thể hơn cho doanh nghiệp về việc xác định bên thứ ba trong các bộ hồ sơ đánh giá tác động để doanh nghiệp có thể hoàn thiện hồ sơ cho phù hợp.</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Khoản 12 Điều 2 Nghị định 13/2023/NĐ-CP quy định: “Bên thứ ba là tổ chức, cá nhân ngoài Chủ thể dữ liệu, Bên Kiểm soát dữ liệu cá nhân, Bên Xử lý dữ liệu cá nhân, Bên Kiểm soát và xử lý dữ liệu cá </w:t>
            </w:r>
            <w:r>
              <w:rPr>
                <w:rFonts w:ascii="Times" w:eastAsia="Times New Roman" w:hAnsi="Times"/>
              </w:rPr>
              <w:lastRenderedPageBreak/>
              <w:t>nhân được phép xử lý dữ liệu cá nhân”. Có thể thấy rằng Ngh</w:t>
            </w:r>
            <w:r>
              <w:rPr>
                <w:rFonts w:ascii="Times" w:eastAsia="Times New Roman" w:hAnsi="Times"/>
              </w:rPr>
              <w:t>ị định 13/2023/NĐ-CP đang xác định bên thứ ba theo nghĩa rất rộng. Với cách hiều này, bên thứ ba có thể là đối tác, nhà cung cấp, bên xử lý dữ liệu cá nhân của các đối tác, nhà cung cấp,… Điều này dẫn đến việc xác định bên thứ ba trong các hồ sơ đánh giá t</w:t>
            </w:r>
            <w:r>
              <w:rPr>
                <w:rFonts w:ascii="Times" w:eastAsia="Times New Roman" w:hAnsi="Times"/>
              </w:rPr>
              <w:t>ác động gặp nhiều khó khăn và tiêu tốn nhiều thời gian, công sức cho doanh nghiệp.</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C. Sửa đổi, bổ sung, thay thế, ban hành mới </w:t>
            </w:r>
            <w:r>
              <w:rPr>
                <w:rFonts w:ascii="Times" w:eastAsia="Times New Roman" w:hAnsi="Times"/>
              </w:rPr>
              <w:lastRenderedPageBreak/>
              <w:t>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Công Ty Luật BIZLINK</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15-07-2025 16:32:19</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19</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Điều 9 Nghị định 13/2023/NĐ-CP về bảo vệ dữ liệu cá nhân Cần có hướng dẫn thống nhất để áp dụng Nghị định 13/2023/NĐ-CP để tránh gây sự chồng chéo, khó khăn cho các pháp luật liên </w:t>
            </w:r>
            <w:r>
              <w:rPr>
                <w:rFonts w:ascii="Times" w:eastAsia="Times New Roman" w:hAnsi="Times"/>
              </w:rPr>
              <w:lastRenderedPageBreak/>
              <w:t>quan.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Điều 9 Nghị định 13/2023/NĐ-CP quy định chủ thể có quyền được biết về hoạt động xử lý dữ liệu; quyền đồng ý hoặc không đồng ý xử lý dữ liệu cá nhân của mình; quyền xóa, truy cập, yêu cầu hạn chế xử lý dữ liệu, phản đối xử lý dữ liệu, trừ trường hợp pháp lu</w:t>
            </w:r>
            <w:r>
              <w:rPr>
                <w:rFonts w:ascii="Times" w:eastAsia="Times New Roman" w:hAnsi="Times"/>
              </w:rPr>
              <w:t xml:space="preserve">ật có quy định khác. Mặc dù quy định này giúp đảm bảo đầy đủ các quyền của chủ thể dữ liệu nhưng dường như không khả thi và khó </w:t>
            </w:r>
            <w:r>
              <w:rPr>
                <w:rFonts w:ascii="Times" w:eastAsia="Times New Roman" w:hAnsi="Times"/>
              </w:rPr>
              <w:lastRenderedPageBreak/>
              <w:t>có thể thực hiện vì doanh nghiêp, tổ chức sẽ phải tiêu tố thêm nguồn lực tài chính, nhân lực, thời gian để rà soát, điều chỉnh v</w:t>
            </w:r>
            <w:r>
              <w:rPr>
                <w:rFonts w:ascii="Times" w:eastAsia="Times New Roman" w:hAnsi="Times"/>
              </w:rPr>
              <w:t xml:space="preserve">iệc áp dụng trên thực tế. Bên cạnh đó, trên thực tế, hoạt động xử lý dữ liệu của các doanh nghiệp, tổ chức thường hướng đến mục đích phục vụ chính nhu cầu của chủ thể dữ liệu hoặc đảm bảo việc vận hành, hoạt động bình thường của các tổ chức, doanh nghiệp. </w:t>
            </w:r>
            <w:r>
              <w:rPr>
                <w:rFonts w:ascii="Times" w:eastAsia="Times New Roman" w:hAnsi="Times"/>
              </w:rPr>
              <w:t>Do đó, việc áp dụng các quy định tại Điều 9 của Nghị định 13/2023/NĐ-CP có thể gây nhiều khó khăn cho doanh nghiệp, tổ chức.</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C. Sửa đổi, bổ sung, thay thế, ban hành mới VBQPPL (theo trình tự, thủ tục rút gọn ban hành </w:t>
            </w:r>
            <w:r>
              <w:rPr>
                <w:rFonts w:ascii="Times" w:eastAsia="Times New Roman" w:hAnsi="Times"/>
              </w:rPr>
              <w:lastRenderedPageBreak/>
              <w:t>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Công</w:t>
            </w:r>
            <w:r>
              <w:rPr>
                <w:rFonts w:ascii="Times" w:eastAsia="Times New Roman" w:hAnsi="Times"/>
              </w:rPr>
              <w:t xml:space="preserve"> Ty Luật BIZLINK</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15-07-2025 16:32:19</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20</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Điều 24 và 25 Nghị định 13/2023/NĐ-CP về bảo vệ dữ liệu cá nhân Cần có hướng dẫn rõ ràng để giúp các doanh nghiệp, tổ chức hoàn thiện </w:t>
            </w:r>
            <w:r>
              <w:rPr>
                <w:rFonts w:ascii="Times" w:eastAsia="Times New Roman" w:hAnsi="Times"/>
              </w:rPr>
              <w:lastRenderedPageBreak/>
              <w:t>các bộ hồ sơ đánh giá tác động.</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Mặc dù các hồ sơ đánh giá tác động xử lý dữ liệu cá nhân và hồ sơ đánh giá tác động chuyển dữ liệu cá nhân ra nước ngoài hiện nay đã có mẫu theo quy định, tuy nhiên, các hồ sơ này có nhiều điểm không rõ ràng hoặc không khả thi, ví dụ: cách xác định bên thứ</w:t>
            </w:r>
            <w:r>
              <w:rPr>
                <w:rFonts w:ascii="Times" w:eastAsia="Times New Roman" w:hAnsi="Times"/>
              </w:rPr>
              <w:t xml:space="preserve"> ba; thông tin về bộ phận, nhân sự phụ trách bảo vệ dữ liệu cá </w:t>
            </w:r>
            <w:r>
              <w:rPr>
                <w:rFonts w:ascii="Times" w:eastAsia="Times New Roman" w:hAnsi="Times"/>
              </w:rPr>
              <w:lastRenderedPageBreak/>
              <w:t xml:space="preserve">nhân của các bên xử lý dữ liệu cá nhân, bên thứ ba; việc xác định cụ thể khối lượng dữ liệu cá nhân dự kiến xử lý, số lượng chủ thể dữ liệu dự kiến xử lý, thời gian xử lý dữ liệu cá nhân, thời </w:t>
            </w:r>
            <w:r>
              <w:rPr>
                <w:rFonts w:ascii="Times" w:eastAsia="Times New Roman" w:hAnsi="Times"/>
              </w:rPr>
              <w:t>gian lưu trữ dữ liệu cá nhân. Việc không có quy định, hướng dẫn rõ ràng về các nội dung này gây khó khăn, tiêu tốn nhiều thời gian, nhận lực và chi phí cho các tổ chức, doanh nghiệp trong việc thực hiện.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C. Sửa đổi, bổ sung, thay thế, ban hành mới VBQPPL </w:t>
            </w:r>
            <w:r>
              <w:rPr>
                <w:rFonts w:ascii="Times" w:eastAsia="Times New Roman" w:hAnsi="Times"/>
              </w:rPr>
              <w:t xml:space="preserve">(theo trình tự, thủ tục </w:t>
            </w:r>
            <w:r>
              <w:rPr>
                <w:rFonts w:ascii="Times" w:eastAsia="Times New Roman" w:hAnsi="Times"/>
              </w:rPr>
              <w:lastRenderedPageBreak/>
              <w:t>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Công Ty Luật BIZLINK</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15-07-2025 16:32:19</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21</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Các từ ngữ như: “Người đã quá già yếu” (Điều 64), “Người đủ 70 tuổi trở lên” (Điều 51, 52) và “Người già yếu” (điểm c khoản 1 Điều 134, điểm c khoản 2 Điều 137, điểm a khoản 2 Điều 140, điểm e </w:t>
            </w:r>
            <w:r>
              <w:rPr>
                <w:rFonts w:ascii="Times" w:eastAsia="Times New Roman" w:hAnsi="Times"/>
              </w:rPr>
              <w:lastRenderedPageBreak/>
              <w:t xml:space="preserve">khoản 2 Điều 157, điểm e khoản 2 Điều 168, điểm c khoản 2 Điều </w:t>
            </w:r>
            <w:r>
              <w:rPr>
                <w:rFonts w:ascii="Times" w:eastAsia="Times New Roman" w:hAnsi="Times"/>
              </w:rPr>
              <w:t>170, điểm g khoản 2 Điều 171) của Bộ Luật hình sự</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Hiện nay các thuật ngữ được nêu tại các điều khoản trên của Bộ Luật chưa có khái niệm thống nhất để xác định độ tuổi nào được xem là “già yếu”, “quá già yếu” … Việc xác định độ tuổi được xem là “già yếu” h</w:t>
            </w:r>
            <w:r>
              <w:rPr>
                <w:rFonts w:ascii="Times" w:eastAsia="Times New Roman" w:hAnsi="Times"/>
              </w:rPr>
              <w:t>ay “quá già yếu” sẽ tùy thuộc vào ý chí chủ quan của người áp dụng và điều này sẽ ảnh hưởng đến việc áp dụng các quy định tình tiết tăng nặng hoặc giảm nhẹ khi xử lý trách nhiệm.</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C. Sửa đổi, bổ sung, thay thế, ban hành mới VBQPPL (theo trình tự, thủ tục r</w:t>
            </w:r>
            <w:r>
              <w:rPr>
                <w:rFonts w:ascii="Times" w:eastAsia="Times New Roman" w:hAnsi="Times"/>
              </w:rPr>
              <w:t xml:space="preserve">út gọn ban hành VBQPPL </w:t>
            </w:r>
            <w:r>
              <w:rPr>
                <w:rFonts w:ascii="Times" w:eastAsia="Times New Roman" w:hAnsi="Times"/>
              </w:rPr>
              <w:lastRenderedPageBreak/>
              <w:t>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Sở Tư pháp tỉnh Vĩnh Long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15-07-2025 14:57:08</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22</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Điều 8: “những hành vi tuy có dấu hiệu của tội phạm nhưng tính chất nguy hiểm cho xã hội không đáng kể thì không phải là tội phạm và được xử lý bằng biện pháp khác”. Của Bộ Luật hình sự</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Nếu theo quy định này thì việc xác định mức độ như thế nào là “không </w:t>
            </w:r>
            <w:r>
              <w:rPr>
                <w:rFonts w:ascii="Times" w:eastAsia="Times New Roman" w:hAnsi="Times"/>
              </w:rPr>
              <w:t>đáng kể” là tùy thuộc vào ý chí chủ quan của người áp dụng và điều này dẫn đến việc áp dụng không thống nhất đối với một hành vi.</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C. Sửa đổi, bổ sung, thay thế, ban hành mới VBQPPL (theo trình tự, thủ tục rút gọn ban hành VBQPPL của Luật Ban hành </w:t>
            </w:r>
            <w:r>
              <w:rPr>
                <w:rFonts w:ascii="Times" w:eastAsia="Times New Roman" w:hAnsi="Times"/>
              </w:rPr>
              <w:lastRenderedPageBreak/>
              <w:t>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Sở Tư pháp tỉnh Vĩnh Long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15-07-2025 14:57:08</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23</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Khoản 3 Điều 29 quy định về miễn trách nhiệm hình sự “Người thực hiện tội phạm ít nghiêm trọng… thì có thể được miễn trách nhiệm hình sự”. Của Bộ Luật hình sự</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Việc quy định này sẽ tùy thuộc vào ý chí chủ quan của người áp dụng trong quá trình xử lý trách nhiệm hình sự đối với hành vi này.</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Sở Tư pháp tỉnh Vĩnh Long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15-07-2025 14:57:08</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24</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Điều 45 Bộ Luật Hình sự năm 2015 (được sửa đổi, bổ sung năm 2017 và </w:t>
            </w:r>
            <w:r>
              <w:rPr>
                <w:rFonts w:ascii="Times" w:eastAsia="Times New Roman" w:hAnsi="Times"/>
              </w:rPr>
              <w:lastRenderedPageBreak/>
              <w:t>2025)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Quy định có tình tiết “Tước một phần tài sản”. Việc quy định tước một phần tài sản chưa rõ ràng, dẫn đến khi áp dụng có tính chủ quan, thực hiện không thống nhất. Do đó, đề nghị quy định cụ thể một phần tài </w:t>
            </w:r>
            <w:r>
              <w:rPr>
                <w:rFonts w:ascii="Times" w:eastAsia="Times New Roman" w:hAnsi="Times"/>
              </w:rPr>
              <w:lastRenderedPageBreak/>
              <w:t>sản là bao nhiêu % và quy định theo phân loại tội</w:t>
            </w:r>
            <w:r>
              <w:rPr>
                <w:rFonts w:ascii="Times" w:eastAsia="Times New Roman" w:hAnsi="Times"/>
              </w:rPr>
              <w:t xml:space="preserve"> phạm.</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C. Sửa đổi, bổ sung, thay thế, ban hành mới </w:t>
            </w:r>
            <w:r>
              <w:rPr>
                <w:rFonts w:ascii="Times" w:eastAsia="Times New Roman" w:hAnsi="Times"/>
              </w:rPr>
              <w:lastRenderedPageBreak/>
              <w:t>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Sở Tư pháp tỉnh Tuyên 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15-07-2025 14:45:50</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25</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Bộ Luật Hình sự năm 2015 (được sửa đổi, bổ sung năm 2017 </w:t>
            </w:r>
            <w:r>
              <w:rPr>
                <w:rFonts w:ascii="Times" w:eastAsia="Times New Roman" w:hAnsi="Times"/>
              </w:rPr>
              <w:t>và 2025)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Bộ luật hình sự có quy định một số tình tiết: “Có tính chất côn đồ”, “Tinh thần bị kích động mạnh”, “Xúc phạm nghiêm trọng danh dự, nhân phẩm của người khác”, “Gây ảnh hưởng xấu đến an ninh, trật tự, an toàn xã hội”, “Có khả năng thực tế dẫn đến hậu quả”, </w:t>
            </w:r>
            <w:r>
              <w:rPr>
                <w:rFonts w:ascii="Times" w:eastAsia="Times New Roman" w:hAnsi="Times"/>
              </w:rPr>
              <w:t xml:space="preserve">“Có số lượng lớn”, “Có số lượng rất lớn”, “Có số lượng đặc biệt lớn”, “Người già yếu”, “Người đã quá già yếu”, “Người đủ 70 tuổi trở lên”… Trên thực tế khi áp dụng các tình tiết này sẽ gặp những khó khăn nhất định </w:t>
            </w:r>
            <w:r>
              <w:rPr>
                <w:rFonts w:ascii="Times" w:eastAsia="Times New Roman" w:hAnsi="Times"/>
              </w:rPr>
              <w:lastRenderedPageBreak/>
              <w:t>do cách hiểu, nhận thức thiếu thống nhất t</w:t>
            </w:r>
            <w:r>
              <w:rPr>
                <w:rFonts w:ascii="Times" w:eastAsia="Times New Roman" w:hAnsi="Times"/>
              </w:rPr>
              <w:t>rong thực tiễn áp dụng vì đây là tình tiết, hậu quả mang tính phi vật chất; việc đánh giá, áp dụng phụ thuộc vào nhận thức của các cơ quan, người tiến hành tố tụng cũng như phụ thuộc vào đặc trưng, điều kiện phát triển kinh tế của từng vùng miền, địa phươn</w:t>
            </w:r>
            <w:r>
              <w:rPr>
                <w:rFonts w:ascii="Times" w:eastAsia="Times New Roman" w:hAnsi="Times"/>
              </w:rPr>
              <w:t>g khác nhau. Khi áp dụng tình tiết này là tình tiết định khung cơ bản, tình tiết định khung tăng nặng cần phải được quy định trong từng lĩnh vực cụ thể, mức độ, phạm vi ảnh hưởng như thế nào đối với tình hình trật tự, an toàn, xã hội... có như vậy mới trán</w:t>
            </w:r>
            <w:r>
              <w:rPr>
                <w:rFonts w:ascii="Times" w:eastAsia="Times New Roman" w:hAnsi="Times"/>
              </w:rPr>
              <w:t>h oan sai, bỏ lọt tội phạm.</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A. Giải thích luật, nghị quyết của Quốc hội, pháp lệnh, nghị quyết của Ủy ban Thường vụ Quốc hội theo quy định tại </w:t>
            </w:r>
            <w:r>
              <w:rPr>
                <w:rFonts w:ascii="Times" w:eastAsia="Times New Roman" w:hAnsi="Times"/>
              </w:rPr>
              <w:lastRenderedPageBreak/>
              <w:t>Điều 60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Sở Tư pháp tỉnh Tuyên 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15-07-2025 14:45:50</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26</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Nghị định số 100/2019/NĐ-CP ngày 30/12/2019 của Chính phủ quy định xử phạt vi phạm hành chính </w:t>
            </w:r>
            <w:r>
              <w:rPr>
                <w:rFonts w:ascii="Times" w:eastAsia="Times New Roman" w:hAnsi="Times"/>
              </w:rPr>
              <w:lastRenderedPageBreak/>
              <w:t>trong lĩnh vực giao thông đường bộ và đường sắt (được sửa đổi, bổ sung tại Nghị định số 123/2021/NĐ-CP ngày 28/12/2021).</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Nghị định số 100/2019/NĐ-CP (được sửa đổi, bổ sung tại Nghị định số 123/2021/NĐ-CP) căn cứ Luật Giao thông đường bộ năm 2008. Tuy nhiên, Luật Giao thông đường bộ năm 2008 đã hết hiệu lực thi hành và được thay thế bởi </w:t>
            </w:r>
            <w:r>
              <w:rPr>
                <w:rFonts w:ascii="Times" w:eastAsia="Times New Roman" w:hAnsi="Times"/>
              </w:rPr>
              <w:lastRenderedPageBreak/>
              <w:t xml:space="preserve">Luật Đường bộ năm 2024 và Luật Trật tự </w:t>
            </w:r>
            <w:r>
              <w:rPr>
                <w:rFonts w:ascii="Times" w:eastAsia="Times New Roman" w:hAnsi="Times"/>
              </w:rPr>
              <w:t>an toàn, giao thông đường bộ năm 2024, Chính phủ đã ban hành các Nghị định quy định chi tiết, hướng dẫn thi hành 02 Luật này. Đề nghị sớm ban hành Nghị định thay thế Nghị định số 100/2019/NĐ-CP (được sửa đổi, bổ sung tại Nghị định số 123/2021/NĐ-CP) phù hợ</w:t>
            </w:r>
            <w:r>
              <w:rPr>
                <w:rFonts w:ascii="Times" w:eastAsia="Times New Roman" w:hAnsi="Times"/>
              </w:rPr>
              <w:t>p, thống nhất với Luật Đường bộ năm 2024 và Luật Trật tự an toàn, giao thông đường bộ năm 2024 và các văn bản hướng dẫn thi hành.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C. Sửa đổi, bổ sung, thay thế, ban hành mới VBQPPL </w:t>
            </w:r>
            <w:r>
              <w:rPr>
                <w:rFonts w:ascii="Times" w:eastAsia="Times New Roman" w:hAnsi="Times"/>
              </w:rPr>
              <w:lastRenderedPageBreak/>
              <w:t>(theo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Sở Tư pháp tỉnh Tuyên 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15-07-2025 14:45:50</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27</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Điều 11, 12 Quyết định số 09/2023/QĐ-TTg ngày 12/4/2023 quy định về trình tự, thủ tục, thẩm quyền, cấp và quản lý thẻ đi lại doanh nhân APEC</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Quy định không rõ ràng về cơ quan chuyên môn của</w:t>
            </w:r>
            <w:r>
              <w:rPr>
                <w:rFonts w:ascii="Times" w:eastAsia="Times New Roman" w:hAnsi="Times"/>
              </w:rPr>
              <w:t xml:space="preserve"> tỉnh, thành phố trực thuộc trung ương có nhiệm vụ tiếp nhận, thẩm định và trình Chủ tịch UBND tỉnh xét và cho phép sử dụng thẻ ABTC là Sở nào.</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B. Hướng dẫn áp dụng VBQPPL theo quy định tại Điều 61 Luật Ban hành VBQPPL </w:t>
            </w:r>
            <w:r>
              <w:rPr>
                <w:rFonts w:ascii="Times" w:eastAsia="Times New Roman" w:hAnsi="Times"/>
              </w:rPr>
              <w:lastRenderedPageBreak/>
              <w:t>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Bộ Ngoại giao</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15-07-2025 14:15:04</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28</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Điểm a khoản 1 Điều 20 Nghị định 105/2025/NĐ-CP ngày 15/5/2025 của Chính phủ quy định chi tiết một số điều và biện pháp thi hành Luật phòng cháy, chữa cháy và cứu nạn, cứu hộ “Điều 20. Thành lập, tổ chức, hoạt động và chế </w:t>
            </w:r>
            <w:r>
              <w:rPr>
                <w:rFonts w:ascii="Times" w:eastAsia="Times New Roman" w:hAnsi="Times"/>
              </w:rPr>
              <w:t xml:space="preserve">độ bảo đảm điều kiện hoạt động đối với lực lượng phòng cháy, chữa cháy và cứu nạn, cứu hộ cơ sở, lực lượng phòng cháy, </w:t>
            </w:r>
            <w:r>
              <w:rPr>
                <w:rFonts w:ascii="Times" w:eastAsia="Times New Roman" w:hAnsi="Times"/>
              </w:rPr>
              <w:lastRenderedPageBreak/>
              <w:t>chữa cháy và cứu nạn, cứu hộ chuyên ngành 1. Người đứng đầu cơ quan, tổ chức kinh doanh hạ tầng khu công nghiệp, cụm công nghiệp hoặc ngư</w:t>
            </w:r>
            <w:r>
              <w:rPr>
                <w:rFonts w:ascii="Times" w:eastAsia="Times New Roman" w:hAnsi="Times"/>
              </w:rPr>
              <w:t xml:space="preserve">ời đứng đầu cơ sở có trách nhiệm thành lập và duy trì hoạt động Đội phòng cháy, chữa cháy và cứu nạn, cứu hộ chuyên ngành theo chế độ chuyên trách hoặc kiêm nhiệm tại các cơ sở sau đây: a) Khu công nghiệp, cụm công nghiệp có tổng diện tích từ 75 </w:t>
            </w:r>
            <w:r>
              <w:rPr>
                <w:rFonts w:ascii="Times" w:eastAsia="Times New Roman" w:hAnsi="Times"/>
              </w:rPr>
              <w:lastRenderedPageBreak/>
              <w:t>ha trở lên</w:t>
            </w:r>
            <w:r>
              <w:rPr>
                <w:rFonts w:ascii="Times" w:eastAsia="Times New Roman" w:hAnsi="Times"/>
              </w:rPr>
              <w:t>;”</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Hạ tầng kỹ thuật tại các khu công nghiệp được đầu tư bằng nguồn ngân sách nhà nước và do Ban Quản lý Khu kinh tế làm chủ đầu tư sau đó được giao cho đơn vị sự nghiệp công lập (không phải là đơn vị kinh doanh hạ tầng) vận hành, duy tu bảo dưỡng. Do đó, </w:t>
            </w:r>
            <w:r>
              <w:rPr>
                <w:rFonts w:ascii="Times" w:eastAsia="Times New Roman" w:hAnsi="Times"/>
              </w:rPr>
              <w:t>chưa xác định rõ cơ quan đơn vị có trách nhiệm thành lập và vận hành đội phòng cháy chữa cháy chuyên ngành tại các khu công nghiệp được ngân sách nhà nước đầu tư hạ tầng.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A. Giải thích luật, nghị quyết của Quốc hội, pháp lệnh, nghị quyết của Ủy ban Thường vụ Quốc hội theo quy định tại Điều 60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Sở Tư pháp tỉnh An Giang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15-07-2025 11:05:41</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29</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Điều 45 Bộ Luật Hình sự năm 2015 (được s</w:t>
            </w:r>
            <w:r>
              <w:rPr>
                <w:rFonts w:ascii="Times" w:eastAsia="Times New Roman" w:hAnsi="Times"/>
              </w:rPr>
              <w:t>ửa đổi, bổ sung năm 2017 và 2025)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Quy định có tình tiết “Tước một phần tài sản”. Việc quy định tước một phần tài sản chưa rõ ràng, dẫn đến khi áp dụng có tính chủ quan, thực hiện không thống nhất. Do đó, đề nghị quy định cụ thể một phần tài sản là bao nhi</w:t>
            </w:r>
            <w:r>
              <w:rPr>
                <w:rFonts w:ascii="Times" w:eastAsia="Times New Roman" w:hAnsi="Times"/>
              </w:rPr>
              <w:t>êu % và quy định theo phân loại tội phạm.</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Sở Tư pháp tỉnh Tuyên 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14-07-2025 22:02:44</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30</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Nghị định số 100/2019/NĐ-CP ngày 30/12/2019 của Chính phủ quy định xử phạt vi </w:t>
            </w:r>
            <w:r>
              <w:rPr>
                <w:rFonts w:ascii="Times" w:eastAsia="Times New Roman" w:hAnsi="Times"/>
              </w:rPr>
              <w:lastRenderedPageBreak/>
              <w:t>phạm hành chính trong lĩnh vực giao thông đường bộ và đường sắt (được sửa đổi, bổ sung tại Nghị định số 123/2021/NĐ-CP ngày 28/12/2021).</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Nghị định số 100/2019/NĐ-CP (được sửa đổ</w:t>
            </w:r>
            <w:r>
              <w:rPr>
                <w:rFonts w:ascii="Times" w:eastAsia="Times New Roman" w:hAnsi="Times"/>
              </w:rPr>
              <w:t xml:space="preserve">i, bổ sung tại Nghị định số 123/2021/NĐ-CP) căn cứ Luật Giao thông đường bộ năm 2008. Tuy nhiên, Luật Giao thông đường bộ năm 2008 đã </w:t>
            </w:r>
            <w:r>
              <w:rPr>
                <w:rFonts w:ascii="Times" w:eastAsia="Times New Roman" w:hAnsi="Times"/>
              </w:rPr>
              <w:lastRenderedPageBreak/>
              <w:t>hết hiệu lực thi hành và được thay thế bởi Luật Đường bộ năm 2024 và Luật Trật tự an toàn, giao thông đường bộ năm 2024, C</w:t>
            </w:r>
            <w:r>
              <w:rPr>
                <w:rFonts w:ascii="Times" w:eastAsia="Times New Roman" w:hAnsi="Times"/>
              </w:rPr>
              <w:t>hính phủ đã ban hành các Nghị định quy định chi tiêt, hướng dẫn thi hành 02 Luật này. Đề nghị sớm ban hành Nghị định thay thế Nghị định số 100/2019/NĐ-CP (được sửa đổi, bổ sung tại Nghị định số 123/2021/NĐ-CP) phù hợp, thống nhất với Luật Đường bộ năm 2024</w:t>
            </w:r>
            <w:r>
              <w:rPr>
                <w:rFonts w:ascii="Times" w:eastAsia="Times New Roman" w:hAnsi="Times"/>
              </w:rPr>
              <w:t xml:space="preserve"> và Luật Trật tự an toàn, giao thông đường bộ năm 2024 và các văn bản hướng dẫn thi hành.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C. Sửa đổi, bổ sung, thay thế, ban hành mới </w:t>
            </w:r>
            <w:r>
              <w:rPr>
                <w:rFonts w:ascii="Times" w:eastAsia="Times New Roman" w:hAnsi="Times"/>
              </w:rPr>
              <w:lastRenderedPageBreak/>
              <w:t>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Sở Tư pháp tỉnh Tuyên 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14-07-2025 22:02:44</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31</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Điều 45 Bộ Luật Hình sự năm 2015 (được sửa đổi, bổ sung năm 2017 và 2025)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Quy định có tình tiết “Tước một phần tài sản”. Việc quy định tước một phần tài sản chưa rõ ràng, dẫn đến khi áp dụng có tính chủ quan, thực hiện kh</w:t>
            </w:r>
            <w:r>
              <w:rPr>
                <w:rFonts w:ascii="Times" w:eastAsia="Times New Roman" w:hAnsi="Times"/>
              </w:rPr>
              <w:t>ông thống nhất. Do đó, đề nghị quy định cụ thể một phần tài sản là bao nhiêu % và quy định theo phân loại tội phạm.</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C. Sửa đổi, bổ sung, thay thế, ban hành mới VBQPPL (theo trình tự, thủ tục rút gọn ban </w:t>
            </w:r>
            <w:r>
              <w:rPr>
                <w:rFonts w:ascii="Times" w:eastAsia="Times New Roman" w:hAnsi="Times"/>
              </w:rPr>
              <w:lastRenderedPageBreak/>
              <w:t>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Sở Tư pháp tỉ</w:t>
            </w:r>
            <w:r>
              <w:rPr>
                <w:rFonts w:ascii="Times" w:eastAsia="Times New Roman" w:hAnsi="Times"/>
              </w:rPr>
              <w:t>nh Tuyên 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14-07-2025 21:54:34</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32</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"Luật căn cước 2023, Nghị định 70/2024/NĐ-CP ngày 25/06/2024 quy định chi tiết một số điều và biện pháp thi hành Luật căn cước"</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 </w:t>
            </w:r>
            <w:r>
              <w:rPr>
                <w:rFonts w:ascii="Times" w:eastAsia="Times New Roman" w:hAnsi="Times"/>
              </w:rPr>
              <w:t>Vướng mắc trong việc yêu cầu khách hàng cá nhân cung cấp một số loại chứng từ trong hồ sơ chuyển tiền - Trong các giao dịch chuyển tiền quốc tế thông qua hệ thống ngân hàng, để chứng minh mục đích chuyển tiền là hợp pháp, trong một số trường hợp khách hàng</w:t>
            </w:r>
            <w:r>
              <w:rPr>
                <w:rFonts w:ascii="Times" w:eastAsia="Times New Roman" w:hAnsi="Times"/>
              </w:rPr>
              <w:t xml:space="preserve"> cá nhân phải cung cấp các giấy tờ tùy thân (hộ chiếu, căn cước công dân, thẻ tạm trú, visa,…), giấy tờ chứng minh quan hệ nhân thân (giấy khai sinh, giấy đăng kí kết hôn, giấy chứng nhận giám hộ,…), giấy chứng tử. - Theo quy định của pháp luật hiện hành (</w:t>
            </w:r>
            <w:r>
              <w:rPr>
                <w:rFonts w:ascii="Times" w:eastAsia="Times New Roman" w:hAnsi="Times"/>
              </w:rPr>
              <w:t xml:space="preserve">Luật căn cước, Luật hộ tịch và các văn bản dưới luật) các thông tin nêu trên đều có thể khai thác được trên Cơ sở dữ liệu </w:t>
            </w:r>
            <w:r>
              <w:rPr>
                <w:rFonts w:ascii="Times" w:eastAsia="Times New Roman" w:hAnsi="Times"/>
              </w:rPr>
              <w:lastRenderedPageBreak/>
              <w:t xml:space="preserve">quốc gia về dân cư và cho phép các tổ chức tín dụng được quyền khai thông tin theo các phương thức được phép: + Khoản 2, Điều 8, Nghị </w:t>
            </w:r>
            <w:r>
              <w:rPr>
                <w:rFonts w:ascii="Times" w:eastAsia="Times New Roman" w:hAnsi="Times"/>
              </w:rPr>
              <w:t>định 70/2024/NĐ-CP ngày 25/06/2024 quy định chi tiết một số điều và biện pháp thi hành Luật căn cước: “2. Tổ chức tín dụng, tổ chức cung ứng dịch vụ trung gian thanh toán, tổ chức cung cấp dịch vụ viễn thông, di động, tổ chức cung cấp dịch vụ xác thực điện</w:t>
            </w:r>
            <w:r>
              <w:rPr>
                <w:rFonts w:ascii="Times" w:eastAsia="Times New Roman" w:hAnsi="Times"/>
              </w:rPr>
              <w:t xml:space="preserve"> tử, tổ chức cung cấp dịch vụ tin cậy, tổ chức hành nghề công chứng, thừa phát lại và tổ chức khác được giao thực hiện dịch vụ công khai thác thông tin về công dân trong Cơ sở dữ liệu quốc gia về dân cư thông qua phương thức khai thác thông tin quy định tạ</w:t>
            </w:r>
            <w:r>
              <w:rPr>
                <w:rFonts w:ascii="Times" w:eastAsia="Times New Roman" w:hAnsi="Times"/>
              </w:rPr>
              <w:t xml:space="preserve">i các điểm b, c, d, đ và e khoản 5 Điều 10 Luật Căn cước”. + Khoản 5, Điều 10 Luật căn cước 2023: Phương thức khai thác thông tin trong Cơ sở dữ liệu quốc gia về dân cư bao gồm: a) Kết nối, chia sẻ trực tiếp giữa cơ sở dữ </w:t>
            </w:r>
            <w:r>
              <w:rPr>
                <w:rFonts w:ascii="Times" w:eastAsia="Times New Roman" w:hAnsi="Times"/>
              </w:rPr>
              <w:lastRenderedPageBreak/>
              <w:t>liệu quốc gia, cơ sở dữ liệu chuyê</w:t>
            </w:r>
            <w:r>
              <w:rPr>
                <w:rFonts w:ascii="Times" w:eastAsia="Times New Roman" w:hAnsi="Times"/>
              </w:rPr>
              <w:t>n ngành, cơ sở dữ liệu khác, trung tâm dữ liệu quốc gia với Cơ sở dữ liệu quốc gia về dân cư hoặc theo các phương thức khác của Khung kiến trúc Chính phủ điện tử Việt Nam;"" Tuy nhiên, hiện tại, các NHTM vẫn chưa được quyền khai thác các thông tin cần thiế</w:t>
            </w:r>
            <w:r>
              <w:rPr>
                <w:rFonts w:ascii="Times" w:eastAsia="Times New Roman" w:hAnsi="Times"/>
              </w:rPr>
              <w:t xml:space="preserve">t của cá nhân trên Cơ sở dữ liệu quốc gia về dân cư </w:t>
            </w:r>
            <w:r>
              <w:rPr>
                <w:rFonts w:ascii="Times" w:eastAsia="Times New Roman" w:hAnsi="Times"/>
              </w:rPr>
              <w:sym w:font="Symbol" w:char="F0E0"/>
            </w:r>
            <w:r>
              <w:rPr>
                <w:rFonts w:ascii="Times" w:eastAsia="Times New Roman" w:hAnsi="Times"/>
              </w:rPr>
              <w:t xml:space="preserve"> Do đó, các NHTM vẫn phải yêu cầu khách hàng cung cấp chứng từ bản giấy để kiểm tra, xác định tính đầy đủ, hợp lệ của hồ sơ giao dịch trước khi thực hiện giao dịch chuyển tiền ra nước ngoài theo đề nghị của khách hàng. Để đơn giản hóa hồ sơ, thủ tục cho kh</w:t>
            </w:r>
            <w:r>
              <w:rPr>
                <w:rFonts w:ascii="Times" w:eastAsia="Times New Roman" w:hAnsi="Times"/>
              </w:rPr>
              <w:t>ách hàng và ngân hàng, đề nghị cơ quan có thẩm quyền xem xét đẩy nhanh tiến độ cho phép các NHTM được phép kết nối, khai thác thông tin cần thiết của cá nhân trên Cơ sở dữ liệu quốc gia về dân cư đồng thời vẫn đảm bảo tuân thủ quy định của NĐ 13/2023/NĐ-CP</w:t>
            </w:r>
            <w:r>
              <w:rPr>
                <w:rFonts w:ascii="Times" w:eastAsia="Times New Roman" w:hAnsi="Times"/>
              </w:rPr>
              <w:t xml:space="preserve"> về bảo </w:t>
            </w:r>
            <w:r>
              <w:rPr>
                <w:rFonts w:ascii="Times" w:eastAsia="Times New Roman" w:hAnsi="Times"/>
              </w:rPr>
              <w:lastRenderedPageBreak/>
              <w:t>vệ dữ liệu cá nhân (tương tự như việc các NHTM được phép kết nối trực tiếp với cơ sở dữ liệu của Tổng cục hải quan để khai thác thông tin cần thiết của Tờ khai hải quan, là cơ sở để thực hiện các giao dịch thanh toán, chuyển tiền ra nước ngoài).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Ngân hàng TMCP Đầu tư và Phát triển Việt Nam </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14-07-2025 19:30:05</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33</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Khoản 3, Điều 1, Nghị định 56/2023/NĐ-CP sửa đổi, bổ sung một số điều của Nghị định số 96/2016/NĐ-CP ngày 01/7/2016 quy định định điều kiện an ninh trật tự đối với một số ngành nghề kinh doanh có điều kiện (Phiếu lý lịch tư pháp trừ những </w:t>
            </w:r>
            <w:r>
              <w:rPr>
                <w:rFonts w:ascii="Times" w:eastAsia="Times New Roman" w:hAnsi="Times"/>
              </w:rPr>
              <w:lastRenderedPageBreak/>
              <w:t xml:space="preserve">người đang thuộc </w:t>
            </w:r>
            <w:r>
              <w:rPr>
                <w:rFonts w:ascii="Times" w:eastAsia="Times New Roman" w:hAnsi="Times"/>
              </w:rPr>
              <w:t>biên chế lực lượng vũ trang)</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Hiện nay, các cơ quan thực hiện pháp luật, có đơn vị yêu cầu áp dụng Phiếu lý lịch tư pháp số 1; có đơn vị yêu cầu áp dụng Phiếu lý lịch tư pháp số 2. Như vậy, chưa đồng nhất trong việc áp dụng pháp luật.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B. Hướng dẫn áp dụng</w:t>
            </w:r>
            <w:r>
              <w:rPr>
                <w:rFonts w:ascii="Times" w:eastAsia="Times New Roman" w:hAnsi="Times"/>
              </w:rPr>
              <w:t xml:space="preserve">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Tập đoàn xăng dầu Việt Nam </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14-07-2025 09:22:47</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34</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Điều 17. Thẩm định thiết kế về phòng cháy và chữa cháy của Luật Phòng cháy, chữa cháy và cứu nạn, cứu hộ số 55/2024/QH15 </w:t>
            </w:r>
            <w:r>
              <w:rPr>
                <w:rFonts w:ascii="Times" w:eastAsia="Times New Roman" w:hAnsi="Times"/>
              </w:rPr>
              <w:t xml:space="preserve">Khoản 3, điều 9 của Nghị định 105/2025/NĐ-CP Điều 9. Thẩm quyền thẩm định thiết kế về phòng cháy và chữa cháy của cơ quan Công an của Thông tư 36/2025/TT-BCA </w:t>
            </w:r>
            <w:r>
              <w:rPr>
                <w:rFonts w:ascii="Times" w:eastAsia="Times New Roman" w:hAnsi="Times"/>
              </w:rPr>
              <w:lastRenderedPageBreak/>
              <w:t>Thông tư 06/2021/TT-BXD ngày 30/6/2021 - “Quy định về phân cấp công trình xây dựng và hướng dẫn áp</w:t>
            </w:r>
            <w:r>
              <w:rPr>
                <w:rFonts w:ascii="Times" w:eastAsia="Times New Roman" w:hAnsi="Times"/>
              </w:rPr>
              <w:t xml:space="preserve"> dụng trong quản lý hoạt động đầu tư xây dựng” </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Việc phân cấp thẩm quyền thực hiện các nội dung thẩm duyệt PCCC căn cứ vào Cấp công trình. Việc phân cấp phê duyệt công trình kho xăng dầu hiện còn có điểm chưa hợp lý (Phân cấp công trình theo tổng dung tíc</w:t>
            </w:r>
            <w:r>
              <w:rPr>
                <w:rFonts w:ascii="Times" w:eastAsia="Times New Roman" w:hAnsi="Times"/>
              </w:rPr>
              <w:t xml:space="preserve">h kho (bao gồm dung tích đã có sẵn), mà không theo dung tích mở rộng cho từng dự án cụ thể), vì vậy có những dự án đầu tư của doanh nghiệp quy mô mở rộng sức chứa rất nhỏ, hoặc xây dựng các công trình hạ tầng bổ sung, các công trình độc lập với quy mô cấp </w:t>
            </w:r>
            <w:r>
              <w:rPr>
                <w:rFonts w:ascii="Times" w:eastAsia="Times New Roman" w:hAnsi="Times"/>
              </w:rPr>
              <w:t xml:space="preserve">công trình thuộc thẩm quyền của địa phương, song thẩm quyền thực hiện các nội dung trên theo quy định vẫn thuộc cấp Bộ, dẫn đến doanh nghiệp gặp nhiều khó khăn, kéo dài thời gian, chi phí đi lại để hoàn thành các thủ tục nêu trên, ảnh hưởng </w:t>
            </w:r>
            <w:r>
              <w:rPr>
                <w:rFonts w:ascii="Times" w:eastAsia="Times New Roman" w:hAnsi="Times"/>
              </w:rPr>
              <w:lastRenderedPageBreak/>
              <w:t>không nhỏ tới t</w:t>
            </w:r>
            <w:r>
              <w:rPr>
                <w:rFonts w:ascii="Times" w:eastAsia="Times New Roman" w:hAnsi="Times"/>
              </w:rPr>
              <w:t xml:space="preserve">hời gian thực hiện, cơ hội và hiệu quả đầu tư dự án.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Tập đoàn xăng dầu Việt Nam </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14-07-2025 09:22:47</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35</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Điều 28 Nghị định 105/2025/NĐ-CP quy định chi tiết một số điều và biện pháp thi hành Luật Phòng cháy, chữa cháy và cứu nạn, cứu hộ.: Nội dung huấn luyện, bồi dưỡng nghiệp vụ PCCC và CNCH.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Khi dự án được triển khai đã có phê duyệt báo cáo đầu tư (FS), thẩm</w:t>
            </w:r>
            <w:r>
              <w:rPr>
                <w:rFonts w:ascii="Times" w:eastAsia="Times New Roman" w:hAnsi="Times"/>
              </w:rPr>
              <w:t xml:space="preserve"> định/nghiệm thu về PCCC trước khi đi vào vận hành, đánh giá tác động Môi trường, đánh giá rủi ro định lượng, kế hoạch ứng phó sự cố hóa chất...vì vậy việc phát sinh giấy phép sản xuất kinh doanh có điều kiện về Hóa chất sau khi nhà máy đi vào vận hành là </w:t>
            </w:r>
            <w:r>
              <w:rPr>
                <w:rFonts w:ascii="Times" w:eastAsia="Times New Roman" w:hAnsi="Times"/>
              </w:rPr>
              <w:t xml:space="preserve">không cần thiết.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Tập đoàn Công nghiệp - Năng lượng Quốc gia Việt Nam </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11-07-2025 15:45:54</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36</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Điểm a, b khoản 2 Điều 31 Nghị định số 105/2025/NĐ-CP ngày 15/5/2025.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Bổ sung, làm rõ điểm a, b khoản 2 Điều 31:“2. Các đối tượng quy định tại các điểm a, b, c, e và điểm g khoản 1 Điều 45 Luật Phòng cháy, chữa cháy và cứu nạn, cứu hộ khi tham gia huấn lu</w:t>
            </w:r>
            <w:r>
              <w:rPr>
                <w:rFonts w:ascii="Times" w:eastAsia="Times New Roman" w:hAnsi="Times"/>
              </w:rPr>
              <w:t xml:space="preserve">yện, bồi dưỡng nghiệp vụ phòng cháy, chữa cháy, cứu nạn, cứu hộ được hưởng chế độ như sau:a) Đối với người được hưởng lương từ ngân sách nhà nước trong thời gian tham gia huấn luyện, bồi dưỡng nghiệp vụ phòng cháy, chữa cháy, cứu nạn, cứu hộ được cơ quan, </w:t>
            </w:r>
            <w:r>
              <w:rPr>
                <w:rFonts w:ascii="Times" w:eastAsia="Times New Roman" w:hAnsi="Times"/>
              </w:rPr>
              <w:t>tổ chức nơi người đó làm việc trả nguyên lương, các khoản phúc lợi, phụ cấp, công tác phí, chế độ, chính sách đang được chi trả theo chế độ hiện hành; được bố trí nơi ăn, nơi nghỉ, thanh toán tiền tàu, xe đi, về và được tính vào kinh phí chi hoạt động thườ</w:t>
            </w:r>
            <w:r>
              <w:rPr>
                <w:rFonts w:ascii="Times" w:eastAsia="Times New Roman" w:hAnsi="Times"/>
              </w:rPr>
              <w:t xml:space="preserve">ng xuyên của cơ quan, đơn vị cử người tham gia tập huấn b) Đối với người không hưởng lương từ ngân sách nhà nước trong thời gian tham gia huấn luyện, bồi dưỡng </w:t>
            </w:r>
            <w:r>
              <w:rPr>
                <w:rFonts w:ascii="Times" w:eastAsia="Times New Roman" w:hAnsi="Times"/>
              </w:rPr>
              <w:lastRenderedPageBreak/>
              <w:t xml:space="preserve">nghiệp vụ phòng cháy, chữa cháy, cứu nạn, cứu hộ được hưởng chế độ như sau: được bố trí nơi ăn, </w:t>
            </w:r>
            <w:r>
              <w:rPr>
                <w:rFonts w:ascii="Times" w:eastAsia="Times New Roman" w:hAnsi="Times"/>
              </w:rPr>
              <w:t xml:space="preserve">nơi nghỉ, thanh toán tiền tàu, xe đi, về và do đơn vị quản lý trực tiếp chi trả, được tính vào chi phí quản lý sản xuất, kinh doanh; trong thời gian tham gia huấn luyện, bồi dưỡng nghiệp vụ được trả tiền lương và các chế độ khác đang được đơn vị trực tiếp </w:t>
            </w:r>
            <w:r>
              <w:rPr>
                <w:rFonts w:ascii="Times" w:eastAsia="Times New Roman" w:hAnsi="Times"/>
              </w:rPr>
              <w:t>quản lý chi trả.”Kiến nghị bổ sung thêm vào cuối điểm a, b Điều 31, cụ thể về chế độ: “…và mỗi ngày được bồi dưỡng một khoản tiền bằng 0,3 ngày lương tối thiểu vùng”.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Tập</w:t>
            </w:r>
            <w:r>
              <w:rPr>
                <w:rFonts w:ascii="Times" w:eastAsia="Times New Roman" w:hAnsi="Times"/>
              </w:rPr>
              <w:t xml:space="preserve"> đoàn Công nghiệp - Năng lượng Quốc gia Việt Nam </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11-07-2025 15:45:54</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37</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 xml:space="preserve">Luật chuyên ngành không có vướng mắc. Tuy nhiên Quy định Xây dựng và phê duyệt Kế hoạch ứng phó với các tình huống </w:t>
            </w:r>
            <w:r>
              <w:rPr>
                <w:rFonts w:ascii="Times" w:eastAsia="Times New Roman" w:hAnsi="Times"/>
              </w:rPr>
              <w:lastRenderedPageBreak/>
              <w:t>khẩn cấp: 1. P/A PCCC&amp;CNCH</w:t>
            </w:r>
            <w:r>
              <w:rPr>
                <w:rFonts w:ascii="Times" w:eastAsia="Times New Roman" w:hAnsi="Times"/>
              </w:rPr>
              <w:t>: Khoản 1- Điều 15-Nghị định 105/2025/NĐ-CP 2. Kế hoạch UPSCTD: Điều 7 - Quyết định 12/2021/QĐ-TTg 3. Kế hoạch UPSCHC: Điều 20 - Nghị định 113/2017/NĐ-CP 4. Kế hoạch UPSCBX: Điều 7 - Thông tư số 12/2023/TT-BKHCN 5. Kế hoạch UPTHKC: Điều 29 - Thông tư 40/20</w:t>
            </w:r>
            <w:r>
              <w:rPr>
                <w:rFonts w:ascii="Times" w:eastAsia="Times New Roman" w:hAnsi="Times"/>
              </w:rPr>
              <w:t>18/TT-BCT</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Chồng chéo trong việc phê duyệt các tình huống khẩn cấp và phối hợp trong xử lý ứng phó tình huống khẩn cấp - Cơ sở phải tổ chức nhiều cuộc diễn tập tình huống và mời cơ quan chức năng tham gia</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C. Sửa đổi, bổ sung, thay thế, ban hành mới VBQP</w:t>
            </w:r>
            <w:r>
              <w:rPr>
                <w:rFonts w:ascii="Times" w:eastAsia="Times New Roman" w:hAnsi="Times"/>
              </w:rPr>
              <w:t xml:space="preserve">PL (theo trình </w:t>
            </w:r>
            <w:r>
              <w:rPr>
                <w:rFonts w:ascii="Times" w:eastAsia="Times New Roman" w:hAnsi="Times"/>
              </w:rPr>
              <w:lastRenderedPageBreak/>
              <w:t>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Tập đoàn Công nghiệp - Năng lượng Quốc gia Việt Nam </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11-07-2025 15:45:54</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38</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Điểm a, b khoản 2 Điều 31 Nghị định số 105/2025/NĐ-CP ngày 15/5/2025.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Bổ sung, làm rõ điểm a, b khoản 2 Điều 31: “2. Các đối tượng quy định tại các điểm a, b, c, e và điểm g khoản 1 Điều 45 Luật Phòng cháy, chữa cháy và cứu nạn, cứu hộ khi tham gia huấn luyện, bồi dưỡng nghiệp vụ phòng cháy, chữa cháy, cứu nạn, cứu hộ được h</w:t>
            </w:r>
            <w:r>
              <w:rPr>
                <w:rFonts w:ascii="Times" w:eastAsia="Times New Roman" w:hAnsi="Times"/>
              </w:rPr>
              <w:t>ưởng chế độ như sau: a) Đối với người được hưởng lương từ ngân sách nhà nước trong thời gian tham gia huấn luyện, bồi dưỡng nghiệp vụ phòng cháy, chữa cháy, cứu nạn, cứu hộ được cơ quan, tổ chức nơi người đó làm việc trả nguyên lương, các khoản phúc lợi, p</w:t>
            </w:r>
            <w:r>
              <w:rPr>
                <w:rFonts w:ascii="Times" w:eastAsia="Times New Roman" w:hAnsi="Times"/>
              </w:rPr>
              <w:t>hụ cấp, công tác phí, chế độ, chính sách đang được chi trả theo chế độ hiện hành; được bố trí nơi ăn, nơi nghỉ, thanh toán tiền tàu, xe đi, về và được tính vào kinh phí chi hoạt động thường xuyên của cơ quan, đơn vị cử người tham gia tập huấn b) Đối với ng</w:t>
            </w:r>
            <w:r>
              <w:rPr>
                <w:rFonts w:ascii="Times" w:eastAsia="Times New Roman" w:hAnsi="Times"/>
              </w:rPr>
              <w:t xml:space="preserve">ười không hưởng lương từ ngân sách nhà nước trong thời gian tham gia huấn luyện, bồi dưỡng </w:t>
            </w:r>
            <w:r>
              <w:rPr>
                <w:rFonts w:ascii="Times" w:eastAsia="Times New Roman" w:hAnsi="Times"/>
              </w:rPr>
              <w:lastRenderedPageBreak/>
              <w:t>nghiệp vụ phòng cháy, chữa cháy, cứu nạn, cứu hộ được hưởng chế độ như sau: được bố trí nơi ăn, nơi nghỉ, thanh toán tiền tàu, xe đi, về và do đơn vị quản lý trực ti</w:t>
            </w:r>
            <w:r>
              <w:rPr>
                <w:rFonts w:ascii="Times" w:eastAsia="Times New Roman" w:hAnsi="Times"/>
              </w:rPr>
              <w:t xml:space="preserve">ếp chi trả, được tính vào chi phí quản lý sản xuất, kinh doanh; trong thời gian tham gia huấn luyện, bồi dưỡng nghiệp vụ được trả tiền lương và các chế độ khác đang được đơn vị trực tiếp quản lý chi trả.” Kiến nghị bổ sung thêm vào cuối điểm a, b Điều 31, </w:t>
            </w:r>
            <w:r>
              <w:rPr>
                <w:rFonts w:ascii="Times" w:eastAsia="Times New Roman" w:hAnsi="Times"/>
              </w:rPr>
              <w:t>cụ thể về chế độ: “…và mỗi ngày được bồi dưỡng một khoản tiền bằng 0,3 ngày lương tối thiểu vùng”.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Tổng công ty Dầu Việt Nam – PV</w:t>
            </w:r>
            <w:r>
              <w:rPr>
                <w:rFonts w:ascii="Times" w:eastAsia="Times New Roman" w:hAnsi="Times"/>
              </w:rPr>
              <w:t>oil</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11-07-2025 10:31:41</w:t>
            </w:r>
          </w:p>
        </w:tc>
      </w:tr>
      <w:tr w:rsidR="00000000">
        <w:trPr>
          <w:divId w:val="204979775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lastRenderedPageBreak/>
              <w:t>39</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Điểm a, b khoản 2 Điều 31 Nghị định số 105/2025/NĐ-CP ngày 15/5/2025.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t>Bổ sung, làm rõ điểm a, b khoản 2 Điều 31:“2. Các đối tượng quy định tại các điểm a, b, c, e và điểm g khoản 1 Điều 45 Luật Phòng cháy, chữa cháy và cứu nạn, cứu hộ khi tham gia huấn luyện, bồi dưỡng nghiệp vụ phòng cháy, chữa cháy, cứu nạn, cứu hộ được hư</w:t>
            </w:r>
            <w:r>
              <w:rPr>
                <w:rFonts w:ascii="Times" w:eastAsia="Times New Roman" w:hAnsi="Times"/>
              </w:rPr>
              <w:t xml:space="preserve">ởng chế độ như </w:t>
            </w:r>
            <w:r>
              <w:rPr>
                <w:rFonts w:ascii="Times" w:eastAsia="Times New Roman" w:hAnsi="Times"/>
              </w:rPr>
              <w:lastRenderedPageBreak/>
              <w:t>sau:a) Đối với người được hưởng lương từ ngân sách nhà nước trong thời gian tham gia huấn luyện, bồi dưỡng nghiệp vụ phòng cháy, chữa cháy, cứu nạn, cứu hộ được cơ quan, tổ chức nơi người đó làm việc trả nguyên lương, các khoản phúc lợi, phụ</w:t>
            </w:r>
            <w:r>
              <w:rPr>
                <w:rFonts w:ascii="Times" w:eastAsia="Times New Roman" w:hAnsi="Times"/>
              </w:rPr>
              <w:t xml:space="preserve"> cấp, công tác phí, chế độ, chính sách đang được chi trả theo chế độ hiện hành; được bố trí nơi ăn, nơi nghỉ, thanh toán tiền tàu, xe đi, về và được tính vào kinh phí chi hoạt động thường xuyên của cơ quan, đơn vị cử người tham gia tập huấn b) Đối với ngườ</w:t>
            </w:r>
            <w:r>
              <w:rPr>
                <w:rFonts w:ascii="Times" w:eastAsia="Times New Roman" w:hAnsi="Times"/>
              </w:rPr>
              <w:t>i không hưởng lương từ ngân sách nhà nước trong thời gian tham gia huấn luyện, bồi dưỡng nghiệp vụ phòng cháy, chữa cháy, cứu nạn, cứu hộ được hưởng chế độ như sau: được bố trí nơi ăn, nơi nghỉ, thanh toán tiền tàu, xe đi, về và do đơn vị quản lý trực tiếp</w:t>
            </w:r>
            <w:r>
              <w:rPr>
                <w:rFonts w:ascii="Times" w:eastAsia="Times New Roman" w:hAnsi="Times"/>
              </w:rPr>
              <w:t xml:space="preserve"> chi trả, được tính vào chi phí quản lý sản xuất, kinh doanh; trong thời gian tham gia huấn luyện, bồi dưỡng </w:t>
            </w:r>
            <w:r>
              <w:rPr>
                <w:rFonts w:ascii="Times" w:eastAsia="Times New Roman" w:hAnsi="Times"/>
              </w:rPr>
              <w:lastRenderedPageBreak/>
              <w:t xml:space="preserve">nghiệp vụ được trả tiền lương và các chế độ khác đang được đơn vị trực tiếp quản lý chi trả.”Kiến nghị bổ sung thêm vào cuối điểm a, b Điều 31, cụ </w:t>
            </w:r>
            <w:r>
              <w:rPr>
                <w:rFonts w:ascii="Times" w:eastAsia="Times New Roman" w:hAnsi="Times"/>
              </w:rPr>
              <w:t>thể về chế độ: “…và mỗi ngày được bồi dưỡng một khoản tiền bằng 0,3 ngày lương tối thiểu vùng”.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 xml:space="preserve">C. Sửa đổi, bổ sung, thay thế, ban hành mới VBQPPL (theo trình </w:t>
            </w:r>
            <w:r>
              <w:rPr>
                <w:rFonts w:ascii="Times" w:eastAsia="Times New Roman" w:hAnsi="Times"/>
              </w:rPr>
              <w:lastRenderedPageBreak/>
              <w:t>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r>
              <w:rPr>
                <w:rFonts w:ascii="Times" w:eastAsia="Times New Roman" w:hAnsi="Times"/>
              </w:rPr>
              <w:lastRenderedPageBreak/>
              <w:t>Tập đoàn Công nghiệp - Năng lượng</w:t>
            </w:r>
            <w:r>
              <w:rPr>
                <w:rFonts w:ascii="Times" w:eastAsia="Times New Roman" w:hAnsi="Times"/>
              </w:rPr>
              <w:t xml:space="preserve"> Quốc gia Việt Nam </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776A40">
            <w:pPr>
              <w:jc w:val="center"/>
              <w:rPr>
                <w:rFonts w:ascii="Times" w:eastAsia="Times New Roman" w:hAnsi="Times"/>
                <w:sz w:val="24"/>
                <w:szCs w:val="24"/>
              </w:rPr>
            </w:pPr>
            <w:r>
              <w:rPr>
                <w:rFonts w:ascii="Times" w:eastAsia="Times New Roman" w:hAnsi="Times"/>
              </w:rPr>
              <w:t>11-07-2025 10:28:06</w:t>
            </w:r>
          </w:p>
        </w:tc>
      </w:tr>
    </w:tbl>
    <w:p w:rsidR="00776A40" w:rsidRDefault="00776A40">
      <w:pPr>
        <w:divId w:val="2049797758"/>
        <w:rPr>
          <w:rFonts w:ascii="Times New Roman" w:eastAsia="Times New Roman" w:hAnsi="Times New Roman"/>
          <w:sz w:val="24"/>
          <w:szCs w:val="24"/>
        </w:rPr>
      </w:pPr>
    </w:p>
    <w:sectPr w:rsidR="00776A40" w:rsidSect="00C54E05">
      <w:pgSz w:w="15840" w:h="12240" w:orient="landscape"/>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ontAwesome">
    <w:altName w:val="Times New Roman"/>
    <w:panose1 w:val="00000000000000000000"/>
    <w:charset w:val="00"/>
    <w:family w:val="roman"/>
    <w:notTrueType/>
    <w:pitch w:val="default"/>
  </w:font>
  <w:font w:name="Times">
    <w:panose1 w:val="020206030504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BE3C4E"/>
    <w:rsid w:val="00776A40"/>
    <w:rsid w:val="00BE3C4E"/>
    <w:rsid w:val="00C54E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pPr>
      <w:spacing w:before="100" w:beforeAutospacing="1" w:after="100" w:afterAutospacing="1" w:line="240" w:lineRule="auto"/>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Pr>
      <w:rFonts w:ascii="Times New Roman" w:hAnsi="Times New Roman" w:cs="Times New Roman"/>
      <w:b/>
      <w:bCs/>
      <w:sz w:val="27"/>
      <w:szCs w:val="27"/>
    </w:rPr>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452375">
      <w:marLeft w:val="0"/>
      <w:marRight w:val="0"/>
      <w:marTop w:val="0"/>
      <w:marBottom w:val="0"/>
      <w:divBdr>
        <w:top w:val="none" w:sz="0" w:space="0" w:color="auto"/>
        <w:left w:val="none" w:sz="0" w:space="0" w:color="auto"/>
        <w:bottom w:val="none" w:sz="0" w:space="0" w:color="auto"/>
        <w:right w:val="none" w:sz="0" w:space="0" w:color="auto"/>
      </w:divBdr>
      <w:divsChild>
        <w:div w:id="1061446441">
          <w:marLeft w:val="0"/>
          <w:marRight w:val="0"/>
          <w:marTop w:val="0"/>
          <w:marBottom w:val="0"/>
          <w:divBdr>
            <w:top w:val="none" w:sz="0" w:space="0" w:color="auto"/>
            <w:left w:val="none" w:sz="0" w:space="0" w:color="auto"/>
            <w:bottom w:val="none" w:sz="0" w:space="0" w:color="auto"/>
            <w:right w:val="none" w:sz="0" w:space="0" w:color="auto"/>
          </w:divBdr>
          <w:divsChild>
            <w:div w:id="679426070">
              <w:marLeft w:val="0"/>
              <w:marRight w:val="0"/>
              <w:marTop w:val="0"/>
              <w:marBottom w:val="0"/>
              <w:divBdr>
                <w:top w:val="none" w:sz="0" w:space="0" w:color="auto"/>
                <w:left w:val="none" w:sz="0" w:space="0" w:color="auto"/>
                <w:bottom w:val="none" w:sz="0" w:space="0" w:color="auto"/>
                <w:right w:val="none" w:sz="0" w:space="0" w:color="auto"/>
              </w:divBdr>
              <w:divsChild>
                <w:div w:id="2016834289">
                  <w:marLeft w:val="0"/>
                  <w:marRight w:val="0"/>
                  <w:marTop w:val="0"/>
                  <w:marBottom w:val="0"/>
                  <w:divBdr>
                    <w:top w:val="none" w:sz="0" w:space="0" w:color="auto"/>
                    <w:left w:val="none" w:sz="0" w:space="0" w:color="auto"/>
                    <w:bottom w:val="none" w:sz="0" w:space="0" w:color="auto"/>
                    <w:right w:val="none" w:sz="0" w:space="0" w:color="auto"/>
                  </w:divBdr>
                  <w:divsChild>
                    <w:div w:id="204979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393114">
      <w:marLeft w:val="0"/>
      <w:marRight w:val="0"/>
      <w:marTop w:val="0"/>
      <w:marBottom w:val="0"/>
      <w:divBdr>
        <w:top w:val="none" w:sz="0" w:space="0" w:color="auto"/>
        <w:left w:val="none" w:sz="0" w:space="0" w:color="auto"/>
        <w:bottom w:val="none" w:sz="0" w:space="0" w:color="auto"/>
        <w:right w:val="none" w:sz="0" w:space="0" w:color="auto"/>
      </w:divBdr>
      <w:divsChild>
        <w:div w:id="107874745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6178</Words>
  <Characters>35218</Characters>
  <Application>Microsoft Office Word</Application>
  <DocSecurity>0</DocSecurity>
  <Lines>293</Lines>
  <Paragraphs>82</Paragraphs>
  <ScaleCrop>false</ScaleCrop>
  <Company/>
  <LinksUpToDate>false</LinksUpToDate>
  <CharactersWithSpaces>41314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2</cp:revision>
  <dcterms:created xsi:type="dcterms:W3CDTF">2025-07-16T10:54:00Z</dcterms:created>
  <dcterms:modified xsi:type="dcterms:W3CDTF">2025-07-16T10:54:00Z</dcterms:modified>
</cp:coreProperties>
</file>